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87" w:rsidRDefault="00A24187"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21AD1" w:rsidRDefault="00F50049" w:rsidP="00FC5E2D">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3C10F4">
        <w:rPr>
          <w:rFonts w:ascii="Times New Roman" w:hAnsi="Times New Roman" w:cs="Times New Roman"/>
          <w:b/>
          <w:sz w:val="24"/>
          <w:szCs w:val="24"/>
        </w:rPr>
        <w:t>6</w:t>
      </w:r>
      <w:r w:rsidR="00434274">
        <w:rPr>
          <w:rFonts w:ascii="Times New Roman" w:hAnsi="Times New Roman" w:cs="Times New Roman"/>
          <w:b/>
          <w:sz w:val="24"/>
          <w:szCs w:val="24"/>
        </w:rPr>
        <w:t>7</w:t>
      </w:r>
    </w:p>
    <w:p w:rsidR="00A24187" w:rsidRDefault="00434274"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:11</w:t>
      </w:r>
      <w:proofErr w:type="gramEnd"/>
      <w:r>
        <w:rPr>
          <w:rFonts w:ascii="Times New Roman" w:hAnsi="Times New Roman" w:cs="Times New Roman"/>
          <w:b/>
          <w:sz w:val="24"/>
          <w:szCs w:val="24"/>
        </w:rPr>
        <w:t>.10</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F21AD1" w:rsidRDefault="00F21AD1" w:rsidP="00F50049">
      <w:pPr>
        <w:pStyle w:val="Balk1"/>
        <w:contextualSpacing/>
        <w:jc w:val="center"/>
        <w:rPr>
          <w:rFonts w:ascii="Times New Roman" w:hAnsi="Times New Roman" w:cs="Times New Roman"/>
          <w:sz w:val="24"/>
          <w:szCs w:val="24"/>
        </w:rPr>
      </w:pPr>
    </w:p>
    <w:p w:rsidR="00F21AD1" w:rsidRDefault="00F21AD1" w:rsidP="00F21AD1">
      <w:pPr>
        <w:tabs>
          <w:tab w:val="left" w:pos="1575"/>
        </w:tabs>
        <w:jc w:val="center"/>
        <w:rPr>
          <w:rFonts w:ascii="Times New Roman" w:hAnsi="Times New Roman" w:cs="Times New Roman"/>
          <w:b/>
          <w:sz w:val="24"/>
          <w:szCs w:val="24"/>
          <w:u w:val="single"/>
        </w:rPr>
      </w:pPr>
      <w:r>
        <w:rPr>
          <w:rFonts w:ascii="Times New Roman" w:hAnsi="Times New Roman" w:cs="Times New Roman"/>
          <w:b/>
          <w:sz w:val="24"/>
          <w:szCs w:val="24"/>
          <w:u w:val="single"/>
        </w:rPr>
        <w:t>BÜTÇE - HUKUK VE AVRUPA BİRLİĞİ KOMİSYONU MÜŞTEREK RAPORU</w:t>
      </w:r>
    </w:p>
    <w:p w:rsidR="00FC5E2D" w:rsidRPr="00182B29" w:rsidRDefault="00FC5E2D" w:rsidP="00FC5E2D">
      <w:pPr>
        <w:spacing w:after="0" w:line="240" w:lineRule="auto"/>
        <w:jc w:val="both"/>
        <w:rPr>
          <w:rFonts w:ascii="Times New Roman" w:eastAsia="Times New Roman" w:hAnsi="Times New Roman" w:cs="Times New Roman"/>
          <w:lang w:eastAsia="tr-TR"/>
        </w:rPr>
      </w:pPr>
      <w:proofErr w:type="gramStart"/>
      <w:r w:rsidRPr="00182B29">
        <w:rPr>
          <w:rFonts w:ascii="Times New Roman" w:eastAsia="Times New Roman" w:hAnsi="Times New Roman" w:cs="Times New Roman"/>
          <w:b/>
          <w:u w:val="single"/>
          <w:lang w:eastAsia="tr-TR"/>
        </w:rPr>
        <w:t xml:space="preserve">KONU : </w:t>
      </w:r>
      <w:r w:rsidRPr="00182B29">
        <w:rPr>
          <w:rFonts w:ascii="Times New Roman" w:eastAsia="Times New Roman" w:hAnsi="Times New Roman" w:cs="Times New Roman"/>
          <w:lang w:eastAsia="tr-TR"/>
        </w:rPr>
        <w:t>Mali</w:t>
      </w:r>
      <w:proofErr w:type="gramEnd"/>
      <w:r w:rsidRPr="00182B29">
        <w:rPr>
          <w:rFonts w:ascii="Times New Roman" w:eastAsia="Times New Roman" w:hAnsi="Times New Roman" w:cs="Times New Roman"/>
          <w:lang w:eastAsia="tr-TR"/>
        </w:rPr>
        <w:t xml:space="preserve"> H</w:t>
      </w:r>
      <w:r>
        <w:rPr>
          <w:rFonts w:ascii="Times New Roman" w:eastAsia="Times New Roman" w:hAnsi="Times New Roman" w:cs="Times New Roman"/>
          <w:lang w:eastAsia="tr-TR"/>
        </w:rPr>
        <w:t>izmetler Müdürlüğünün 03</w:t>
      </w:r>
      <w:r w:rsidRPr="00182B29">
        <w:rPr>
          <w:rFonts w:ascii="Times New Roman" w:eastAsia="Times New Roman" w:hAnsi="Times New Roman" w:cs="Times New Roman"/>
          <w:lang w:eastAsia="tr-TR"/>
        </w:rPr>
        <w:t>.</w:t>
      </w:r>
      <w:r>
        <w:rPr>
          <w:rFonts w:ascii="Times New Roman" w:eastAsia="Times New Roman" w:hAnsi="Times New Roman" w:cs="Times New Roman"/>
          <w:lang w:eastAsia="tr-TR"/>
        </w:rPr>
        <w:t>10</w:t>
      </w:r>
      <w:r w:rsidRPr="00182B29">
        <w:rPr>
          <w:rFonts w:ascii="Times New Roman" w:eastAsia="Times New Roman" w:hAnsi="Times New Roman" w:cs="Times New Roman"/>
          <w:lang w:eastAsia="tr-TR"/>
        </w:rPr>
        <w:t>.2019  tarih</w:t>
      </w:r>
      <w:r>
        <w:rPr>
          <w:rFonts w:ascii="Times New Roman" w:eastAsia="Times New Roman" w:hAnsi="Times New Roman" w:cs="Times New Roman"/>
          <w:lang w:eastAsia="tr-TR"/>
        </w:rPr>
        <w:t>li ve 5847809-6995</w:t>
      </w:r>
      <w:r w:rsidRPr="00182B29">
        <w:rPr>
          <w:rFonts w:ascii="Times New Roman" w:eastAsia="Times New Roman" w:hAnsi="Times New Roman" w:cs="Times New Roman"/>
          <w:lang w:eastAsia="tr-TR"/>
        </w:rPr>
        <w:t xml:space="preserve">  yazıları ile Başkanlık Makamına sunulan ve Başkanlıktan 07.10.2019 tarihin</w:t>
      </w:r>
      <w:r>
        <w:rPr>
          <w:rFonts w:ascii="Times New Roman" w:eastAsia="Times New Roman" w:hAnsi="Times New Roman" w:cs="Times New Roman"/>
          <w:lang w:eastAsia="tr-TR"/>
        </w:rPr>
        <w:t>de Meclis Gündemine gelen 2020 Yılı Performans P</w:t>
      </w:r>
      <w:r w:rsidRPr="00182B29">
        <w:rPr>
          <w:rFonts w:ascii="Times New Roman" w:eastAsia="Times New Roman" w:hAnsi="Times New Roman" w:cs="Times New Roman"/>
          <w:lang w:eastAsia="tr-TR"/>
        </w:rPr>
        <w:t xml:space="preserve">rogramı  konusu. </w:t>
      </w:r>
    </w:p>
    <w:p w:rsidR="00FC5E2D" w:rsidRPr="00182B29" w:rsidRDefault="00FC5E2D" w:rsidP="00FC5E2D">
      <w:pPr>
        <w:spacing w:after="0" w:line="240" w:lineRule="auto"/>
        <w:jc w:val="both"/>
        <w:rPr>
          <w:rFonts w:ascii="Times New Roman" w:eastAsia="Times New Roman" w:hAnsi="Times New Roman" w:cs="Times New Roman"/>
          <w:b/>
          <w:u w:val="single"/>
          <w:lang w:eastAsia="tr-TR"/>
        </w:rPr>
      </w:pPr>
    </w:p>
    <w:p w:rsidR="00FC5E2D" w:rsidRPr="00182B29" w:rsidRDefault="00FC5E2D" w:rsidP="00FC5E2D">
      <w:pPr>
        <w:spacing w:after="0" w:line="240" w:lineRule="auto"/>
        <w:jc w:val="both"/>
        <w:rPr>
          <w:rFonts w:ascii="Times New Roman" w:eastAsia="Times New Roman" w:hAnsi="Times New Roman" w:cs="Times New Roman"/>
          <w:lang w:eastAsia="tr-TR"/>
        </w:rPr>
      </w:pPr>
      <w:r w:rsidRPr="00182B29">
        <w:rPr>
          <w:rFonts w:ascii="Times New Roman" w:eastAsia="Times New Roman" w:hAnsi="Times New Roman" w:cs="Times New Roman"/>
          <w:b/>
          <w:u w:val="single"/>
          <w:lang w:eastAsia="tr-TR"/>
        </w:rPr>
        <w:t xml:space="preserve">KOMİSYON İNCELEMESİ: </w:t>
      </w:r>
      <w:r w:rsidRPr="00182B29">
        <w:rPr>
          <w:rFonts w:ascii="Times New Roman" w:eastAsia="Times New Roman" w:hAnsi="Times New Roman" w:cs="Times New Roman"/>
          <w:lang w:eastAsia="tr-TR"/>
        </w:rPr>
        <w:t xml:space="preserve">Mali Hizmetler Müdürlüğünün </w:t>
      </w:r>
      <w:r>
        <w:rPr>
          <w:rFonts w:ascii="Times New Roman" w:eastAsia="Times New Roman" w:hAnsi="Times New Roman" w:cs="Times New Roman"/>
          <w:lang w:eastAsia="tr-TR"/>
        </w:rPr>
        <w:t>03</w:t>
      </w:r>
      <w:r w:rsidRPr="00182B29">
        <w:rPr>
          <w:rFonts w:ascii="Times New Roman" w:eastAsia="Times New Roman" w:hAnsi="Times New Roman" w:cs="Times New Roman"/>
          <w:lang w:eastAsia="tr-TR"/>
        </w:rPr>
        <w:t>.</w:t>
      </w:r>
      <w:r>
        <w:rPr>
          <w:rFonts w:ascii="Times New Roman" w:eastAsia="Times New Roman" w:hAnsi="Times New Roman" w:cs="Times New Roman"/>
          <w:lang w:eastAsia="tr-TR"/>
        </w:rPr>
        <w:t>10</w:t>
      </w:r>
      <w:r w:rsidRPr="00182B29">
        <w:rPr>
          <w:rFonts w:ascii="Times New Roman" w:eastAsia="Times New Roman" w:hAnsi="Times New Roman" w:cs="Times New Roman"/>
          <w:lang w:eastAsia="tr-TR"/>
        </w:rPr>
        <w:t>.</w:t>
      </w:r>
      <w:proofErr w:type="gramStart"/>
      <w:r w:rsidRPr="00182B29">
        <w:rPr>
          <w:rFonts w:ascii="Times New Roman" w:eastAsia="Times New Roman" w:hAnsi="Times New Roman" w:cs="Times New Roman"/>
          <w:lang w:eastAsia="tr-TR"/>
        </w:rPr>
        <w:t>2019  tarih</w:t>
      </w:r>
      <w:r>
        <w:rPr>
          <w:rFonts w:ascii="Times New Roman" w:eastAsia="Times New Roman" w:hAnsi="Times New Roman" w:cs="Times New Roman"/>
          <w:lang w:eastAsia="tr-TR"/>
        </w:rPr>
        <w:t>li</w:t>
      </w:r>
      <w:proofErr w:type="gramEnd"/>
      <w:r>
        <w:rPr>
          <w:rFonts w:ascii="Times New Roman" w:eastAsia="Times New Roman" w:hAnsi="Times New Roman" w:cs="Times New Roman"/>
          <w:lang w:eastAsia="tr-TR"/>
        </w:rPr>
        <w:t xml:space="preserve"> ve 5847809-6995</w:t>
      </w:r>
      <w:r w:rsidRPr="00182B29">
        <w:rPr>
          <w:rFonts w:ascii="Times New Roman" w:eastAsia="Times New Roman" w:hAnsi="Times New Roman" w:cs="Times New Roman"/>
          <w:lang w:eastAsia="tr-TR"/>
        </w:rPr>
        <w:t xml:space="preserve">  yazıları ile Başkanlık Makamına sunulan ve Başkanlıktan 07.10.2019 tarihin</w:t>
      </w:r>
      <w:r>
        <w:rPr>
          <w:rFonts w:ascii="Times New Roman" w:eastAsia="Times New Roman" w:hAnsi="Times New Roman" w:cs="Times New Roman"/>
          <w:lang w:eastAsia="tr-TR"/>
        </w:rPr>
        <w:t>de Meclis Gündemine gelen 2020 Y</w:t>
      </w:r>
      <w:r w:rsidRPr="00182B29">
        <w:rPr>
          <w:rFonts w:ascii="Times New Roman" w:eastAsia="Times New Roman" w:hAnsi="Times New Roman" w:cs="Times New Roman"/>
          <w:lang w:eastAsia="tr-TR"/>
        </w:rPr>
        <w:t xml:space="preserve">ılı </w:t>
      </w:r>
      <w:r>
        <w:rPr>
          <w:rFonts w:ascii="Times New Roman" w:eastAsia="Times New Roman" w:hAnsi="Times New Roman" w:cs="Times New Roman"/>
          <w:lang w:eastAsia="tr-TR"/>
        </w:rPr>
        <w:t>Performans P</w:t>
      </w:r>
      <w:r w:rsidRPr="00182B29">
        <w:rPr>
          <w:rFonts w:ascii="Times New Roman" w:eastAsia="Times New Roman" w:hAnsi="Times New Roman" w:cs="Times New Roman"/>
          <w:lang w:eastAsia="tr-TR"/>
        </w:rPr>
        <w:t>rogramı  konusu komisyonlarımızca incelenmiştir.</w:t>
      </w:r>
    </w:p>
    <w:p w:rsidR="00FC5E2D" w:rsidRPr="00182B29" w:rsidRDefault="00FC5E2D" w:rsidP="00FC5E2D">
      <w:pPr>
        <w:spacing w:after="0" w:line="240" w:lineRule="auto"/>
        <w:jc w:val="both"/>
        <w:rPr>
          <w:rFonts w:ascii="Times New Roman" w:eastAsia="Times New Roman" w:hAnsi="Times New Roman" w:cs="Times New Roman"/>
          <w:b/>
          <w:u w:val="single"/>
          <w:lang w:eastAsia="tr-TR"/>
        </w:rPr>
      </w:pPr>
    </w:p>
    <w:p w:rsidR="00FC5E2D" w:rsidRPr="00182B29" w:rsidRDefault="00FC5E2D" w:rsidP="00FC5E2D">
      <w:pPr>
        <w:spacing w:after="0" w:line="240" w:lineRule="auto"/>
        <w:jc w:val="both"/>
        <w:rPr>
          <w:rFonts w:ascii="Times New Roman" w:eastAsia="Times New Roman" w:hAnsi="Times New Roman" w:cs="Times New Roman"/>
          <w:b/>
          <w:u w:val="single"/>
          <w:lang w:eastAsia="tr-TR"/>
        </w:rPr>
      </w:pPr>
      <w:r w:rsidRPr="00182B29">
        <w:rPr>
          <w:rFonts w:ascii="Times New Roman" w:eastAsia="Times New Roman" w:hAnsi="Times New Roman" w:cs="Times New Roman"/>
          <w:b/>
          <w:u w:val="single"/>
          <w:lang w:eastAsia="tr-TR"/>
        </w:rPr>
        <w:t xml:space="preserve">KOMİSYON </w:t>
      </w:r>
      <w:proofErr w:type="gramStart"/>
      <w:r w:rsidRPr="00182B29">
        <w:rPr>
          <w:rFonts w:ascii="Times New Roman" w:eastAsia="Times New Roman" w:hAnsi="Times New Roman" w:cs="Times New Roman"/>
          <w:b/>
          <w:u w:val="single"/>
          <w:lang w:eastAsia="tr-TR"/>
        </w:rPr>
        <w:t>GÖRÜŞÜ :</w:t>
      </w:r>
      <w:proofErr w:type="gramEnd"/>
    </w:p>
    <w:p w:rsidR="00FC5E2D" w:rsidRPr="00182B29" w:rsidRDefault="00FC5E2D" w:rsidP="00FC5E2D">
      <w:pPr>
        <w:spacing w:after="0" w:line="240" w:lineRule="auto"/>
        <w:jc w:val="both"/>
        <w:rPr>
          <w:rFonts w:ascii="Times New Roman" w:eastAsia="Times New Roman" w:hAnsi="Times New Roman" w:cs="Times New Roman"/>
          <w:b/>
          <w:u w:val="single"/>
          <w:lang w:eastAsia="tr-TR"/>
        </w:rPr>
      </w:pPr>
    </w:p>
    <w:p w:rsidR="00FC5E2D" w:rsidRPr="00182B29" w:rsidRDefault="00FC5E2D" w:rsidP="00FC5E2D">
      <w:pPr>
        <w:spacing w:after="0" w:line="240" w:lineRule="auto"/>
        <w:jc w:val="both"/>
        <w:rPr>
          <w:rFonts w:ascii="Times New Roman" w:eastAsia="Times New Roman" w:hAnsi="Times New Roman" w:cs="Times New Roman"/>
          <w:lang w:eastAsia="tr-TR"/>
        </w:rPr>
      </w:pPr>
      <w:r w:rsidRPr="00182B29">
        <w:rPr>
          <w:rFonts w:ascii="Times New Roman" w:eastAsia="Times New Roman" w:hAnsi="Times New Roman" w:cs="Times New Roman"/>
          <w:lang w:eastAsia="tr-TR"/>
        </w:rPr>
        <w:t xml:space="preserve">5018 Sayılı Kamu Mali Yönetimi ve Kontrol Kanununun 9.maddesi, 5393 sayılı Belediye Kanununun 41. maddesi gereğince Sarıyer Belediyesinin 2020 yılı performans programı 5393 sayılı kanununun 18.maddesi gereğince görüşülmüş ve aşağıdaki hususlar tespit edilmiştir. </w:t>
      </w:r>
    </w:p>
    <w:p w:rsidR="00FC5E2D" w:rsidRPr="00182B29" w:rsidRDefault="00FC5E2D" w:rsidP="00FC5E2D">
      <w:pPr>
        <w:spacing w:after="0" w:line="240" w:lineRule="auto"/>
        <w:jc w:val="both"/>
        <w:rPr>
          <w:rFonts w:ascii="Times New Roman" w:eastAsia="Times New Roman" w:hAnsi="Times New Roman" w:cs="Times New Roman"/>
          <w:lang w:eastAsia="tr-TR"/>
        </w:rPr>
      </w:pPr>
    </w:p>
    <w:p w:rsidR="00FC5E2D" w:rsidRPr="00182B29" w:rsidRDefault="00FC5E2D" w:rsidP="00FC5E2D">
      <w:pPr>
        <w:spacing w:after="0" w:line="240" w:lineRule="auto"/>
        <w:jc w:val="both"/>
        <w:rPr>
          <w:rFonts w:ascii="Times New Roman" w:eastAsia="Times New Roman" w:hAnsi="Times New Roman" w:cs="Times New Roman"/>
          <w:b/>
          <w:lang w:eastAsia="tr-TR"/>
        </w:rPr>
      </w:pPr>
      <w:r w:rsidRPr="00182B29">
        <w:rPr>
          <w:rFonts w:ascii="Times New Roman" w:eastAsia="Times New Roman" w:hAnsi="Times New Roman" w:cs="Times New Roman"/>
          <w:b/>
          <w:lang w:eastAsia="tr-TR"/>
        </w:rPr>
        <w:t xml:space="preserve">1.TOPLAM KAYNAK İHTİYACI </w:t>
      </w:r>
    </w:p>
    <w:tbl>
      <w:tblPr>
        <w:tblW w:w="9500" w:type="dxa"/>
        <w:tblInd w:w="55" w:type="dxa"/>
        <w:tblCellMar>
          <w:left w:w="70" w:type="dxa"/>
          <w:right w:w="70" w:type="dxa"/>
        </w:tblCellMar>
        <w:tblLook w:val="04A0" w:firstRow="1" w:lastRow="0" w:firstColumn="1" w:lastColumn="0" w:noHBand="0" w:noVBand="1"/>
      </w:tblPr>
      <w:tblGrid>
        <w:gridCol w:w="3140"/>
        <w:gridCol w:w="2220"/>
        <w:gridCol w:w="2140"/>
        <w:gridCol w:w="2000"/>
      </w:tblGrid>
      <w:tr w:rsidR="00FC5E2D" w:rsidRPr="00182B29" w:rsidTr="00FD2BA1">
        <w:trPr>
          <w:trHeight w:val="300"/>
        </w:trPr>
        <w:tc>
          <w:tcPr>
            <w:tcW w:w="314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220"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 xml:space="preserve">FAALİYETLER </w:t>
            </w:r>
          </w:p>
        </w:tc>
        <w:tc>
          <w:tcPr>
            <w:tcW w:w="2140"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GENEL YÖNETİM</w:t>
            </w:r>
          </w:p>
        </w:tc>
        <w:tc>
          <w:tcPr>
            <w:tcW w:w="2000"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GENEL</w:t>
            </w:r>
          </w:p>
        </w:tc>
      </w:tr>
      <w:tr w:rsidR="00FC5E2D" w:rsidRPr="00182B29" w:rsidTr="00FD2BA1">
        <w:trPr>
          <w:trHeight w:val="300"/>
        </w:trPr>
        <w:tc>
          <w:tcPr>
            <w:tcW w:w="314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220"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TOPLAMI</w:t>
            </w:r>
          </w:p>
        </w:tc>
        <w:tc>
          <w:tcPr>
            <w:tcW w:w="2140"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GİD. TOPLAMI</w:t>
            </w:r>
          </w:p>
        </w:tc>
        <w:tc>
          <w:tcPr>
            <w:tcW w:w="2000"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TOPLAM</w:t>
            </w:r>
          </w:p>
        </w:tc>
      </w:tr>
      <w:tr w:rsidR="00FC5E2D" w:rsidRPr="00182B29" w:rsidTr="00FD2BA1">
        <w:trPr>
          <w:trHeight w:val="300"/>
        </w:trPr>
        <w:tc>
          <w:tcPr>
            <w:tcW w:w="314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220"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c>
          <w:tcPr>
            <w:tcW w:w="2140"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c>
          <w:tcPr>
            <w:tcW w:w="2000"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r>
      <w:tr w:rsidR="00FC5E2D" w:rsidRPr="00182B29" w:rsidTr="00FD2BA1">
        <w:trPr>
          <w:trHeight w:val="300"/>
        </w:trPr>
        <w:tc>
          <w:tcPr>
            <w:tcW w:w="314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 xml:space="preserve">BÜTÇE KAYNAK İHTİYACI </w:t>
            </w:r>
          </w:p>
        </w:tc>
        <w:tc>
          <w:tcPr>
            <w:tcW w:w="2220"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372.653.000.-</w:t>
            </w:r>
          </w:p>
        </w:tc>
        <w:tc>
          <w:tcPr>
            <w:tcW w:w="2140"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107.253.000,-</w:t>
            </w:r>
          </w:p>
        </w:tc>
        <w:tc>
          <w:tcPr>
            <w:tcW w:w="2000"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479.906.000,-</w:t>
            </w:r>
          </w:p>
        </w:tc>
      </w:tr>
      <w:tr w:rsidR="00FC5E2D" w:rsidRPr="00182B29" w:rsidTr="00FD2BA1">
        <w:trPr>
          <w:trHeight w:val="300"/>
        </w:trPr>
        <w:tc>
          <w:tcPr>
            <w:tcW w:w="314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220"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c>
          <w:tcPr>
            <w:tcW w:w="2140"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c>
          <w:tcPr>
            <w:tcW w:w="2000"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r>
    </w:tbl>
    <w:p w:rsidR="00FC5E2D" w:rsidRPr="00182B29" w:rsidRDefault="00FC5E2D" w:rsidP="00FC5E2D">
      <w:pPr>
        <w:spacing w:after="0" w:line="240" w:lineRule="auto"/>
        <w:jc w:val="both"/>
        <w:rPr>
          <w:rFonts w:ascii="Times New Roman" w:eastAsia="Times New Roman" w:hAnsi="Times New Roman" w:cs="Times New Roman"/>
          <w:lang w:eastAsia="tr-TR"/>
        </w:rPr>
      </w:pPr>
    </w:p>
    <w:p w:rsidR="00FC5E2D" w:rsidRPr="00182B29" w:rsidRDefault="00FC5E2D" w:rsidP="00FC5E2D">
      <w:pPr>
        <w:spacing w:after="0" w:line="240" w:lineRule="auto"/>
        <w:jc w:val="both"/>
        <w:rPr>
          <w:rFonts w:ascii="Times New Roman" w:eastAsia="Times New Roman" w:hAnsi="Times New Roman" w:cs="Times New Roman"/>
          <w:b/>
          <w:lang w:eastAsia="tr-TR"/>
        </w:rPr>
      </w:pPr>
      <w:r w:rsidRPr="00182B29">
        <w:rPr>
          <w:rFonts w:ascii="Times New Roman" w:eastAsia="Times New Roman" w:hAnsi="Times New Roman" w:cs="Times New Roman"/>
          <w:b/>
          <w:lang w:eastAsia="tr-TR"/>
        </w:rPr>
        <w:t>1.GENEL YÖNETİM GİDERLERİ</w:t>
      </w:r>
    </w:p>
    <w:tbl>
      <w:tblPr>
        <w:tblW w:w="7814" w:type="dxa"/>
        <w:tblInd w:w="55" w:type="dxa"/>
        <w:tblCellMar>
          <w:left w:w="70" w:type="dxa"/>
          <w:right w:w="70" w:type="dxa"/>
        </w:tblCellMar>
        <w:tblLook w:val="04A0" w:firstRow="1" w:lastRow="0" w:firstColumn="1" w:lastColumn="0" w:noHBand="0" w:noVBand="1"/>
      </w:tblPr>
      <w:tblGrid>
        <w:gridCol w:w="434"/>
        <w:gridCol w:w="2860"/>
        <w:gridCol w:w="2620"/>
        <w:gridCol w:w="320"/>
        <w:gridCol w:w="1580"/>
      </w:tblGrid>
      <w:tr w:rsidR="00FC5E2D" w:rsidRPr="00182B29" w:rsidTr="00FD2BA1">
        <w:trPr>
          <w:trHeight w:val="300"/>
        </w:trPr>
        <w:tc>
          <w:tcPr>
            <w:tcW w:w="434"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c>
          <w:tcPr>
            <w:tcW w:w="286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6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3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158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r>
      <w:tr w:rsidR="00FC5E2D" w:rsidRPr="00182B29" w:rsidTr="00FD2BA1">
        <w:trPr>
          <w:trHeight w:val="300"/>
        </w:trPr>
        <w:tc>
          <w:tcPr>
            <w:tcW w:w="434"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c>
          <w:tcPr>
            <w:tcW w:w="286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 xml:space="preserve">                                      </w:t>
            </w:r>
          </w:p>
        </w:tc>
        <w:tc>
          <w:tcPr>
            <w:tcW w:w="262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TOPLAM KAYNAK İHTİYACI</w:t>
            </w:r>
          </w:p>
        </w:tc>
        <w:tc>
          <w:tcPr>
            <w:tcW w:w="320" w:type="dxa"/>
            <w:noWrap/>
            <w:vAlign w:val="bottom"/>
          </w:tcPr>
          <w:p w:rsidR="00FC5E2D" w:rsidRPr="00182B29" w:rsidRDefault="00FC5E2D" w:rsidP="00FD2BA1">
            <w:pPr>
              <w:spacing w:after="0" w:line="240" w:lineRule="auto"/>
              <w:jc w:val="right"/>
              <w:rPr>
                <w:rFonts w:ascii="Times New Roman" w:eastAsia="Times New Roman" w:hAnsi="Times New Roman" w:cs="Times New Roman"/>
                <w:b/>
                <w:bCs/>
                <w:color w:val="000000"/>
                <w:lang w:eastAsia="tr-TR"/>
              </w:rPr>
            </w:pPr>
          </w:p>
        </w:tc>
        <w:tc>
          <w:tcPr>
            <w:tcW w:w="158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KAYNAK</w:t>
            </w:r>
          </w:p>
        </w:tc>
      </w:tr>
      <w:tr w:rsidR="00FC5E2D" w:rsidRPr="00182B29" w:rsidTr="00FD2BA1">
        <w:trPr>
          <w:trHeight w:val="300"/>
        </w:trPr>
        <w:tc>
          <w:tcPr>
            <w:tcW w:w="434"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86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620" w:type="dxa"/>
            <w:noWrap/>
            <w:vAlign w:val="bottom"/>
          </w:tcPr>
          <w:p w:rsidR="00FC5E2D" w:rsidRPr="00182B29" w:rsidRDefault="00FC5E2D" w:rsidP="00FD2BA1">
            <w:pPr>
              <w:spacing w:after="0" w:line="240" w:lineRule="auto"/>
              <w:jc w:val="center"/>
              <w:rPr>
                <w:rFonts w:ascii="Times New Roman" w:eastAsia="Times New Roman" w:hAnsi="Times New Roman" w:cs="Times New Roman"/>
                <w:b/>
                <w:bCs/>
                <w:color w:val="000000"/>
                <w:lang w:eastAsia="tr-TR"/>
              </w:rPr>
            </w:pPr>
          </w:p>
        </w:tc>
        <w:tc>
          <w:tcPr>
            <w:tcW w:w="320" w:type="dxa"/>
            <w:noWrap/>
            <w:vAlign w:val="bottom"/>
          </w:tcPr>
          <w:p w:rsidR="00FC5E2D" w:rsidRPr="00182B29" w:rsidRDefault="00FC5E2D" w:rsidP="00FD2BA1">
            <w:pPr>
              <w:spacing w:after="0" w:line="240" w:lineRule="auto"/>
              <w:jc w:val="center"/>
              <w:rPr>
                <w:rFonts w:ascii="Times New Roman" w:eastAsia="Times New Roman" w:hAnsi="Times New Roman" w:cs="Times New Roman"/>
                <w:b/>
                <w:bCs/>
                <w:color w:val="000000"/>
                <w:lang w:eastAsia="tr-TR"/>
              </w:rPr>
            </w:pPr>
          </w:p>
        </w:tc>
        <w:tc>
          <w:tcPr>
            <w:tcW w:w="1580" w:type="dxa"/>
            <w:noWrap/>
            <w:vAlign w:val="bottom"/>
          </w:tcPr>
          <w:p w:rsidR="00FC5E2D" w:rsidRPr="00182B29" w:rsidRDefault="00FC5E2D" w:rsidP="00FD2BA1">
            <w:pPr>
              <w:spacing w:after="0" w:line="240" w:lineRule="auto"/>
              <w:jc w:val="both"/>
              <w:rPr>
                <w:rFonts w:ascii="Times New Roman" w:eastAsia="Times New Roman" w:hAnsi="Times New Roman" w:cs="Times New Roman"/>
                <w:b/>
                <w:bCs/>
                <w:color w:val="000000"/>
                <w:lang w:eastAsia="tr-TR"/>
              </w:rPr>
            </w:pPr>
          </w:p>
        </w:tc>
      </w:tr>
      <w:tr w:rsidR="00FC5E2D" w:rsidRPr="00182B29" w:rsidTr="00FD2BA1">
        <w:trPr>
          <w:trHeight w:val="300"/>
        </w:trPr>
        <w:tc>
          <w:tcPr>
            <w:tcW w:w="434"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86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6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3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158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r>
      <w:tr w:rsidR="00FC5E2D" w:rsidRPr="00182B29" w:rsidTr="00FD2BA1">
        <w:trPr>
          <w:trHeight w:val="300"/>
        </w:trPr>
        <w:tc>
          <w:tcPr>
            <w:tcW w:w="434"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01-</w:t>
            </w:r>
          </w:p>
        </w:tc>
        <w:tc>
          <w:tcPr>
            <w:tcW w:w="286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PERSONEL GİDERLERİ</w:t>
            </w:r>
          </w:p>
        </w:tc>
        <w:tc>
          <w:tcPr>
            <w:tcW w:w="2620" w:type="dxa"/>
            <w:noWrap/>
            <w:vAlign w:val="bottom"/>
            <w:hideMark/>
          </w:tcPr>
          <w:p w:rsidR="00FC5E2D" w:rsidRPr="00182B29" w:rsidRDefault="00FC5E2D" w:rsidP="00FD2BA1">
            <w:pPr>
              <w:spacing w:after="0" w:line="240" w:lineRule="auto"/>
              <w:jc w:val="right"/>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72.857.000,-</w:t>
            </w:r>
          </w:p>
        </w:tc>
        <w:tc>
          <w:tcPr>
            <w:tcW w:w="3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158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BÜTÇE İÇİ</w:t>
            </w:r>
          </w:p>
        </w:tc>
      </w:tr>
      <w:tr w:rsidR="00FC5E2D" w:rsidRPr="00182B29" w:rsidTr="00FD2BA1">
        <w:trPr>
          <w:trHeight w:val="300"/>
        </w:trPr>
        <w:tc>
          <w:tcPr>
            <w:tcW w:w="434"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02-</w:t>
            </w:r>
          </w:p>
        </w:tc>
        <w:tc>
          <w:tcPr>
            <w:tcW w:w="286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SGK DEVLET PRİMİ GİD.</w:t>
            </w:r>
          </w:p>
        </w:tc>
        <w:tc>
          <w:tcPr>
            <w:tcW w:w="2620" w:type="dxa"/>
            <w:noWrap/>
            <w:vAlign w:val="bottom"/>
            <w:hideMark/>
          </w:tcPr>
          <w:p w:rsidR="00FC5E2D" w:rsidRPr="00182B29" w:rsidRDefault="00FC5E2D" w:rsidP="00FD2BA1">
            <w:pPr>
              <w:spacing w:after="0" w:line="240" w:lineRule="auto"/>
              <w:jc w:val="right"/>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9.396.000,-</w:t>
            </w:r>
          </w:p>
        </w:tc>
        <w:tc>
          <w:tcPr>
            <w:tcW w:w="3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158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BÜTÇE İÇİ</w:t>
            </w:r>
          </w:p>
        </w:tc>
      </w:tr>
      <w:tr w:rsidR="00FC5E2D" w:rsidRPr="00182B29" w:rsidTr="00FD2BA1">
        <w:trPr>
          <w:trHeight w:val="80"/>
        </w:trPr>
        <w:tc>
          <w:tcPr>
            <w:tcW w:w="434" w:type="dxa"/>
            <w:noWrap/>
            <w:vAlign w:val="bottom"/>
            <w:hideMark/>
          </w:tcPr>
          <w:p w:rsidR="00FC5E2D" w:rsidRPr="00182B29" w:rsidRDefault="00FC5E2D" w:rsidP="00FD2BA1">
            <w:pPr>
              <w:spacing w:after="0"/>
              <w:rPr>
                <w:rFonts w:ascii="Times New Roman" w:hAnsi="Times New Roman" w:cs="Times New Roman"/>
              </w:rPr>
            </w:pPr>
          </w:p>
        </w:tc>
        <w:tc>
          <w:tcPr>
            <w:tcW w:w="2860" w:type="dxa"/>
            <w:noWrap/>
            <w:vAlign w:val="bottom"/>
            <w:hideMark/>
          </w:tcPr>
          <w:p w:rsidR="00FC5E2D" w:rsidRPr="00182B29" w:rsidRDefault="00FC5E2D" w:rsidP="00FD2BA1">
            <w:pPr>
              <w:spacing w:after="0"/>
              <w:rPr>
                <w:rFonts w:ascii="Times New Roman" w:hAnsi="Times New Roman" w:cs="Times New Roman"/>
              </w:rPr>
            </w:pPr>
          </w:p>
        </w:tc>
        <w:tc>
          <w:tcPr>
            <w:tcW w:w="2620" w:type="dxa"/>
            <w:noWrap/>
            <w:vAlign w:val="bottom"/>
            <w:hideMark/>
          </w:tcPr>
          <w:p w:rsidR="00FC5E2D" w:rsidRPr="00182B29" w:rsidRDefault="00FC5E2D" w:rsidP="00FD2BA1">
            <w:pPr>
              <w:spacing w:after="0"/>
              <w:rPr>
                <w:rFonts w:ascii="Times New Roman" w:hAnsi="Times New Roman" w:cs="Times New Roman"/>
              </w:rPr>
            </w:pPr>
          </w:p>
        </w:tc>
        <w:tc>
          <w:tcPr>
            <w:tcW w:w="3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1580" w:type="dxa"/>
            <w:noWrap/>
            <w:vAlign w:val="bottom"/>
            <w:hideMark/>
          </w:tcPr>
          <w:p w:rsidR="00FC5E2D" w:rsidRPr="00182B29" w:rsidRDefault="00FC5E2D" w:rsidP="00FD2BA1">
            <w:pPr>
              <w:spacing w:after="0"/>
              <w:rPr>
                <w:rFonts w:ascii="Times New Roman" w:hAnsi="Times New Roman" w:cs="Times New Roman"/>
              </w:rPr>
            </w:pPr>
          </w:p>
        </w:tc>
      </w:tr>
      <w:tr w:rsidR="00FC5E2D" w:rsidRPr="00182B29" w:rsidTr="00FD2BA1">
        <w:trPr>
          <w:trHeight w:val="300"/>
        </w:trPr>
        <w:tc>
          <w:tcPr>
            <w:tcW w:w="434"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c>
          <w:tcPr>
            <w:tcW w:w="2860" w:type="dxa"/>
            <w:noWrap/>
            <w:vAlign w:val="bottom"/>
            <w:hideMark/>
          </w:tcPr>
          <w:p w:rsidR="00FC5E2D" w:rsidRPr="00182B29" w:rsidRDefault="00FC5E2D" w:rsidP="00FD2BA1">
            <w:pPr>
              <w:spacing w:after="0" w:line="240" w:lineRule="auto"/>
              <w:jc w:val="right"/>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TOPLAM</w:t>
            </w:r>
          </w:p>
        </w:tc>
        <w:tc>
          <w:tcPr>
            <w:tcW w:w="2620" w:type="dxa"/>
            <w:noWrap/>
            <w:vAlign w:val="bottom"/>
            <w:hideMark/>
          </w:tcPr>
          <w:p w:rsidR="00FC5E2D" w:rsidRPr="00182B29" w:rsidRDefault="00FC5E2D" w:rsidP="00FD2BA1">
            <w:pPr>
              <w:spacing w:after="0" w:line="240" w:lineRule="auto"/>
              <w:jc w:val="right"/>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82.253.000,-</w:t>
            </w:r>
          </w:p>
        </w:tc>
        <w:tc>
          <w:tcPr>
            <w:tcW w:w="320" w:type="dxa"/>
            <w:noWrap/>
            <w:vAlign w:val="bottom"/>
          </w:tcPr>
          <w:p w:rsidR="00FC5E2D" w:rsidRPr="00182B29" w:rsidRDefault="00FC5E2D" w:rsidP="00FD2BA1">
            <w:pPr>
              <w:spacing w:after="0" w:line="240" w:lineRule="auto"/>
              <w:jc w:val="both"/>
              <w:rPr>
                <w:rFonts w:ascii="Times New Roman" w:eastAsia="Times New Roman" w:hAnsi="Times New Roman" w:cs="Times New Roman"/>
                <w:b/>
                <w:bCs/>
                <w:color w:val="000000"/>
                <w:lang w:eastAsia="tr-TR"/>
              </w:rPr>
            </w:pPr>
          </w:p>
        </w:tc>
        <w:tc>
          <w:tcPr>
            <w:tcW w:w="158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r>
      <w:tr w:rsidR="00FC5E2D" w:rsidRPr="00182B29" w:rsidTr="00FD2BA1">
        <w:trPr>
          <w:trHeight w:val="300"/>
        </w:trPr>
        <w:tc>
          <w:tcPr>
            <w:tcW w:w="434" w:type="dxa"/>
            <w:noWrap/>
            <w:vAlign w:val="bottom"/>
            <w:hideMark/>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09-</w:t>
            </w:r>
          </w:p>
        </w:tc>
        <w:tc>
          <w:tcPr>
            <w:tcW w:w="286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YEDEK ÖDENEK</w:t>
            </w:r>
          </w:p>
        </w:tc>
        <w:tc>
          <w:tcPr>
            <w:tcW w:w="2620" w:type="dxa"/>
            <w:noWrap/>
            <w:vAlign w:val="bottom"/>
            <w:hideMark/>
          </w:tcPr>
          <w:p w:rsidR="00FC5E2D" w:rsidRPr="00182B29" w:rsidRDefault="00FC5E2D" w:rsidP="00FD2BA1">
            <w:pPr>
              <w:spacing w:after="0" w:line="240" w:lineRule="auto"/>
              <w:jc w:val="right"/>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25.000.000,-</w:t>
            </w:r>
          </w:p>
        </w:tc>
        <w:tc>
          <w:tcPr>
            <w:tcW w:w="3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158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r w:rsidRPr="00182B29">
              <w:rPr>
                <w:rFonts w:ascii="Times New Roman" w:eastAsia="Times New Roman" w:hAnsi="Times New Roman" w:cs="Times New Roman"/>
                <w:color w:val="000000"/>
                <w:lang w:eastAsia="tr-TR"/>
              </w:rPr>
              <w:t>BÜTÇE İÇİ</w:t>
            </w:r>
          </w:p>
        </w:tc>
      </w:tr>
      <w:tr w:rsidR="00FC5E2D" w:rsidRPr="00182B29" w:rsidTr="00FD2BA1">
        <w:trPr>
          <w:trHeight w:val="300"/>
        </w:trPr>
        <w:tc>
          <w:tcPr>
            <w:tcW w:w="434" w:type="dxa"/>
            <w:noWrap/>
            <w:vAlign w:val="bottom"/>
          </w:tcPr>
          <w:p w:rsidR="00FC5E2D" w:rsidRPr="00182B29" w:rsidRDefault="00FC5E2D" w:rsidP="00FD2BA1">
            <w:pPr>
              <w:spacing w:after="0" w:line="240" w:lineRule="auto"/>
              <w:jc w:val="center"/>
              <w:rPr>
                <w:rFonts w:ascii="Times New Roman" w:eastAsia="Times New Roman" w:hAnsi="Times New Roman" w:cs="Times New Roman"/>
                <w:color w:val="000000"/>
                <w:lang w:eastAsia="tr-TR"/>
              </w:rPr>
            </w:pPr>
          </w:p>
        </w:tc>
        <w:tc>
          <w:tcPr>
            <w:tcW w:w="2860" w:type="dxa"/>
            <w:noWrap/>
            <w:vAlign w:val="bottom"/>
            <w:hideMark/>
          </w:tcPr>
          <w:p w:rsidR="00FC5E2D" w:rsidRPr="00182B29" w:rsidRDefault="00FC5E2D" w:rsidP="00FD2BA1">
            <w:pPr>
              <w:spacing w:after="0" w:line="240" w:lineRule="auto"/>
              <w:jc w:val="both"/>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 xml:space="preserve">                             TOPLAM</w:t>
            </w:r>
          </w:p>
        </w:tc>
        <w:tc>
          <w:tcPr>
            <w:tcW w:w="2620" w:type="dxa"/>
            <w:noWrap/>
            <w:vAlign w:val="bottom"/>
            <w:hideMark/>
          </w:tcPr>
          <w:p w:rsidR="00FC5E2D" w:rsidRPr="00182B29" w:rsidRDefault="00FC5E2D" w:rsidP="00FD2BA1">
            <w:pPr>
              <w:spacing w:after="0" w:line="240" w:lineRule="auto"/>
              <w:jc w:val="right"/>
              <w:rPr>
                <w:rFonts w:ascii="Times New Roman" w:eastAsia="Times New Roman" w:hAnsi="Times New Roman" w:cs="Times New Roman"/>
                <w:b/>
                <w:bCs/>
                <w:color w:val="000000"/>
                <w:lang w:eastAsia="tr-TR"/>
              </w:rPr>
            </w:pPr>
            <w:r w:rsidRPr="00182B29">
              <w:rPr>
                <w:rFonts w:ascii="Times New Roman" w:eastAsia="Times New Roman" w:hAnsi="Times New Roman" w:cs="Times New Roman"/>
                <w:b/>
                <w:bCs/>
                <w:color w:val="000000"/>
                <w:lang w:eastAsia="tr-TR"/>
              </w:rPr>
              <w:t>25.000.000,-</w:t>
            </w:r>
          </w:p>
        </w:tc>
        <w:tc>
          <w:tcPr>
            <w:tcW w:w="320" w:type="dxa"/>
            <w:noWrap/>
            <w:vAlign w:val="bottom"/>
          </w:tcPr>
          <w:p w:rsidR="00FC5E2D" w:rsidRPr="00182B29" w:rsidRDefault="00FC5E2D" w:rsidP="00FD2BA1">
            <w:pPr>
              <w:spacing w:after="0" w:line="240" w:lineRule="auto"/>
              <w:jc w:val="both"/>
              <w:rPr>
                <w:rFonts w:ascii="Times New Roman" w:eastAsia="Times New Roman" w:hAnsi="Times New Roman" w:cs="Times New Roman"/>
                <w:b/>
                <w:bCs/>
                <w:color w:val="000000"/>
                <w:lang w:eastAsia="tr-TR"/>
              </w:rPr>
            </w:pPr>
          </w:p>
        </w:tc>
        <w:tc>
          <w:tcPr>
            <w:tcW w:w="158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r>
      <w:tr w:rsidR="00FC5E2D" w:rsidRPr="00182B29" w:rsidTr="00FD2BA1">
        <w:trPr>
          <w:trHeight w:val="300"/>
        </w:trPr>
        <w:tc>
          <w:tcPr>
            <w:tcW w:w="434"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86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26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32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c>
          <w:tcPr>
            <w:tcW w:w="1580" w:type="dxa"/>
            <w:noWrap/>
            <w:vAlign w:val="bottom"/>
          </w:tcPr>
          <w:p w:rsidR="00FC5E2D" w:rsidRPr="00182B29" w:rsidRDefault="00FC5E2D" w:rsidP="00FD2BA1">
            <w:pPr>
              <w:spacing w:after="0" w:line="240" w:lineRule="auto"/>
              <w:jc w:val="both"/>
              <w:rPr>
                <w:rFonts w:ascii="Times New Roman" w:eastAsia="Times New Roman" w:hAnsi="Times New Roman" w:cs="Times New Roman"/>
                <w:color w:val="000000"/>
                <w:lang w:eastAsia="tr-TR"/>
              </w:rPr>
            </w:pPr>
          </w:p>
        </w:tc>
      </w:tr>
    </w:tbl>
    <w:p w:rsidR="00FC5E2D" w:rsidRPr="00182B29" w:rsidRDefault="00FC5E2D" w:rsidP="00FC5E2D">
      <w:pPr>
        <w:spacing w:after="0" w:line="240" w:lineRule="auto"/>
        <w:jc w:val="both"/>
        <w:rPr>
          <w:rFonts w:ascii="Times New Roman" w:eastAsia="Times New Roman" w:hAnsi="Times New Roman" w:cs="Times New Roman"/>
          <w:b/>
          <w:lang w:eastAsia="tr-TR"/>
        </w:rPr>
      </w:pPr>
      <w:r w:rsidRPr="00182B29">
        <w:rPr>
          <w:rFonts w:ascii="Times New Roman" w:eastAsia="Times New Roman" w:hAnsi="Times New Roman" w:cs="Times New Roman"/>
          <w:b/>
          <w:lang w:eastAsia="tr-TR"/>
        </w:rPr>
        <w:t>2.FAALİYET MALİYETLERİ</w:t>
      </w:r>
    </w:p>
    <w:p w:rsidR="00FC5E2D" w:rsidRPr="00182B29" w:rsidRDefault="00FC5E2D" w:rsidP="00FC5E2D">
      <w:pPr>
        <w:spacing w:after="0" w:line="240" w:lineRule="auto"/>
        <w:jc w:val="both"/>
        <w:rPr>
          <w:rFonts w:ascii="Times New Roman" w:eastAsia="Times New Roman" w:hAnsi="Times New Roman" w:cs="Times New Roman"/>
          <w:b/>
          <w:lang w:eastAsia="tr-TR"/>
        </w:rPr>
      </w:pPr>
    </w:p>
    <w:p w:rsidR="00FC5E2D" w:rsidRPr="00182B29" w:rsidRDefault="00FC5E2D" w:rsidP="00FC5E2D">
      <w:pPr>
        <w:spacing w:after="0" w:line="240" w:lineRule="auto"/>
        <w:jc w:val="both"/>
        <w:rPr>
          <w:rFonts w:ascii="Times New Roman" w:eastAsia="Times New Roman" w:hAnsi="Times New Roman" w:cs="Times New Roman"/>
          <w:lang w:eastAsia="tr-TR"/>
        </w:rPr>
      </w:pPr>
      <w:r w:rsidRPr="00182B29">
        <w:rPr>
          <w:rFonts w:ascii="Times New Roman" w:eastAsia="Times New Roman" w:hAnsi="Times New Roman" w:cs="Times New Roman"/>
          <w:lang w:eastAsia="tr-TR"/>
        </w:rPr>
        <w:t>03 – MAL VE HİZMET ALIMI GİD.                330.933.000,-      BÜTÇE İÇİ</w:t>
      </w:r>
    </w:p>
    <w:p w:rsidR="00FC5E2D" w:rsidRPr="00182B29" w:rsidRDefault="00FC5E2D" w:rsidP="00FC5E2D">
      <w:pPr>
        <w:spacing w:after="0" w:line="240" w:lineRule="auto"/>
        <w:jc w:val="both"/>
        <w:rPr>
          <w:rFonts w:ascii="Times New Roman" w:eastAsia="Times New Roman" w:hAnsi="Times New Roman" w:cs="Times New Roman"/>
          <w:lang w:eastAsia="tr-TR"/>
        </w:rPr>
      </w:pPr>
      <w:r w:rsidRPr="00182B29">
        <w:rPr>
          <w:rFonts w:ascii="Times New Roman" w:eastAsia="Times New Roman" w:hAnsi="Times New Roman" w:cs="Times New Roman"/>
          <w:lang w:eastAsia="tr-TR"/>
        </w:rPr>
        <w:t>04 – FAİZ GİDERİ                                                3.600.000,-       BÜTÇE İÇİ</w:t>
      </w:r>
    </w:p>
    <w:p w:rsidR="00FC5E2D" w:rsidRPr="00182B29" w:rsidRDefault="00FC5E2D" w:rsidP="00FC5E2D">
      <w:pPr>
        <w:spacing w:after="0" w:line="240" w:lineRule="auto"/>
        <w:jc w:val="both"/>
        <w:rPr>
          <w:rFonts w:ascii="Times New Roman" w:eastAsia="Times New Roman" w:hAnsi="Times New Roman" w:cs="Times New Roman"/>
          <w:lang w:eastAsia="tr-TR"/>
        </w:rPr>
      </w:pPr>
      <w:r w:rsidRPr="00182B29">
        <w:rPr>
          <w:rFonts w:ascii="Times New Roman" w:eastAsia="Times New Roman" w:hAnsi="Times New Roman" w:cs="Times New Roman"/>
          <w:lang w:eastAsia="tr-TR"/>
        </w:rPr>
        <w:t>05 – CARİ TRANSFER                                       12.860.000,-      BÜTÇE İÇİ</w:t>
      </w:r>
    </w:p>
    <w:p w:rsidR="00FC5E2D" w:rsidRPr="00182B29" w:rsidRDefault="00FC5E2D" w:rsidP="00FC5E2D">
      <w:pPr>
        <w:spacing w:after="0" w:line="240" w:lineRule="auto"/>
        <w:jc w:val="both"/>
        <w:rPr>
          <w:rFonts w:ascii="Times New Roman" w:eastAsia="Times New Roman" w:hAnsi="Times New Roman" w:cs="Times New Roman"/>
          <w:lang w:eastAsia="tr-TR"/>
        </w:rPr>
      </w:pPr>
      <w:r w:rsidRPr="00182B29">
        <w:rPr>
          <w:rFonts w:ascii="Times New Roman" w:eastAsia="Times New Roman" w:hAnsi="Times New Roman" w:cs="Times New Roman"/>
          <w:lang w:eastAsia="tr-TR"/>
        </w:rPr>
        <w:t xml:space="preserve">06-  SERMAYE GİDERLERİ </w:t>
      </w:r>
      <w:r w:rsidRPr="00182B29">
        <w:rPr>
          <w:rFonts w:ascii="Times New Roman" w:eastAsia="Times New Roman" w:hAnsi="Times New Roman" w:cs="Times New Roman"/>
          <w:lang w:eastAsia="tr-TR"/>
        </w:rPr>
        <w:tab/>
      </w:r>
      <w:r w:rsidRPr="00182B29">
        <w:rPr>
          <w:rFonts w:ascii="Times New Roman" w:eastAsia="Times New Roman" w:hAnsi="Times New Roman" w:cs="Times New Roman"/>
          <w:lang w:eastAsia="tr-TR"/>
        </w:rPr>
        <w:tab/>
        <w:t xml:space="preserve">                  25.260.000,-      BÜTÇE İÇİ</w:t>
      </w:r>
      <w:r w:rsidRPr="00182B29">
        <w:rPr>
          <w:rFonts w:ascii="Times New Roman" w:eastAsia="Times New Roman" w:hAnsi="Times New Roman" w:cs="Times New Roman"/>
          <w:lang w:eastAsia="tr-TR"/>
        </w:rPr>
        <w:tab/>
      </w:r>
      <w:r w:rsidRPr="00182B29">
        <w:rPr>
          <w:rFonts w:ascii="Times New Roman" w:eastAsia="Times New Roman" w:hAnsi="Times New Roman" w:cs="Times New Roman"/>
          <w:lang w:eastAsia="tr-TR"/>
        </w:rPr>
        <w:tab/>
      </w:r>
    </w:p>
    <w:p w:rsidR="00FC5E2D" w:rsidRPr="00182B29" w:rsidRDefault="00FC5E2D" w:rsidP="00FC5E2D">
      <w:pPr>
        <w:spacing w:after="0" w:line="240" w:lineRule="auto"/>
        <w:jc w:val="both"/>
        <w:rPr>
          <w:rFonts w:ascii="Times New Roman" w:eastAsia="Times New Roman" w:hAnsi="Times New Roman" w:cs="Times New Roman"/>
          <w:lang w:eastAsia="tr-TR"/>
        </w:rPr>
      </w:pPr>
      <w:r w:rsidRPr="00182B29">
        <w:rPr>
          <w:rFonts w:ascii="Times New Roman" w:eastAsia="Times New Roman" w:hAnsi="Times New Roman" w:cs="Times New Roman"/>
          <w:lang w:eastAsia="tr-TR"/>
        </w:rPr>
        <w:t>08 – BORÇ VERME                                                   --.--</w:t>
      </w:r>
    </w:p>
    <w:p w:rsidR="00FC5E2D" w:rsidRPr="00182B29" w:rsidRDefault="00FC5E2D" w:rsidP="00FC5E2D">
      <w:pPr>
        <w:spacing w:after="0" w:line="240" w:lineRule="auto"/>
        <w:jc w:val="both"/>
        <w:rPr>
          <w:rFonts w:ascii="Times New Roman" w:eastAsia="Times New Roman" w:hAnsi="Times New Roman" w:cs="Times New Roman"/>
          <w:lang w:eastAsia="tr-TR"/>
        </w:rPr>
      </w:pPr>
    </w:p>
    <w:p w:rsidR="00FC5E2D" w:rsidRPr="00182B29" w:rsidRDefault="00FC5E2D" w:rsidP="00FC5E2D">
      <w:pPr>
        <w:spacing w:after="0" w:line="240" w:lineRule="auto"/>
        <w:jc w:val="both"/>
        <w:rPr>
          <w:rFonts w:ascii="Times New Roman" w:eastAsia="Times New Roman" w:hAnsi="Times New Roman" w:cs="Times New Roman"/>
          <w:b/>
          <w:lang w:eastAsia="tr-TR"/>
        </w:rPr>
      </w:pPr>
      <w:r w:rsidRPr="00182B29">
        <w:rPr>
          <w:rFonts w:ascii="Times New Roman" w:eastAsia="Times New Roman" w:hAnsi="Times New Roman" w:cs="Times New Roman"/>
          <w:lang w:eastAsia="tr-TR"/>
        </w:rPr>
        <w:t xml:space="preserve">                                   </w:t>
      </w:r>
      <w:r w:rsidRPr="00182B29">
        <w:rPr>
          <w:rFonts w:ascii="Times New Roman" w:eastAsia="Times New Roman" w:hAnsi="Times New Roman" w:cs="Times New Roman"/>
          <w:b/>
          <w:lang w:eastAsia="tr-TR"/>
        </w:rPr>
        <w:t>TOPLAM                      372.653.000,-</w:t>
      </w:r>
    </w:p>
    <w:p w:rsidR="00FC5E2D" w:rsidRPr="00182B29" w:rsidRDefault="00FC5E2D" w:rsidP="00FC5E2D">
      <w:pPr>
        <w:spacing w:after="0" w:line="240" w:lineRule="auto"/>
        <w:jc w:val="both"/>
        <w:rPr>
          <w:rFonts w:ascii="Times New Roman" w:eastAsia="Times New Roman" w:hAnsi="Times New Roman" w:cs="Times New Roman"/>
          <w:b/>
          <w:lang w:eastAsia="tr-TR"/>
        </w:rPr>
      </w:pPr>
    </w:p>
    <w:p w:rsidR="00FC5E2D" w:rsidRPr="00182B29" w:rsidRDefault="00FC5E2D" w:rsidP="00FC5E2D">
      <w:pPr>
        <w:spacing w:after="0" w:line="240" w:lineRule="auto"/>
        <w:jc w:val="both"/>
        <w:rPr>
          <w:rFonts w:ascii="Times New Roman" w:eastAsia="Times New Roman" w:hAnsi="Times New Roman" w:cs="Times New Roman"/>
          <w:b/>
          <w:lang w:eastAsia="tr-TR"/>
        </w:rPr>
      </w:pPr>
      <w:r w:rsidRPr="00182B29">
        <w:rPr>
          <w:rFonts w:ascii="Times New Roman" w:eastAsia="Times New Roman" w:hAnsi="Times New Roman" w:cs="Times New Roman"/>
          <w:b/>
          <w:lang w:eastAsia="tr-TR"/>
        </w:rPr>
        <w:t xml:space="preserve">                             Genel toplam                       479.906.000.-</w:t>
      </w:r>
    </w:p>
    <w:p w:rsidR="00FC5E2D" w:rsidRPr="00182B29" w:rsidRDefault="00FC5E2D" w:rsidP="00FC5E2D">
      <w:pPr>
        <w:spacing w:after="0" w:line="240" w:lineRule="auto"/>
        <w:jc w:val="both"/>
        <w:rPr>
          <w:rFonts w:ascii="Times New Roman" w:eastAsia="Times New Roman" w:hAnsi="Times New Roman" w:cs="Times New Roman"/>
          <w:lang w:eastAsia="tr-TR"/>
        </w:rPr>
      </w:pPr>
      <w:r w:rsidRPr="00182B29">
        <w:rPr>
          <w:rFonts w:ascii="Times New Roman" w:eastAsia="Times New Roman" w:hAnsi="Times New Roman" w:cs="Times New Roman"/>
          <w:lang w:eastAsia="tr-TR"/>
        </w:rPr>
        <w:t xml:space="preserve">             </w:t>
      </w:r>
    </w:p>
    <w:p w:rsidR="00FC5E2D" w:rsidRDefault="00FC5E2D" w:rsidP="00FC5E2D">
      <w:pPr>
        <w:jc w:val="both"/>
        <w:rPr>
          <w:rFonts w:ascii="Times New Roman" w:hAnsi="Times New Roman" w:cs="Times New Roman"/>
          <w:sz w:val="24"/>
          <w:szCs w:val="24"/>
        </w:rPr>
      </w:pPr>
      <w:r w:rsidRPr="00182B29">
        <w:rPr>
          <w:rFonts w:ascii="Times New Roman" w:hAnsi="Times New Roman" w:cs="Times New Roman"/>
          <w:b/>
        </w:rPr>
        <w:t>2020-2024</w:t>
      </w:r>
      <w:r w:rsidRPr="00182B29">
        <w:rPr>
          <w:rFonts w:ascii="Times New Roman" w:hAnsi="Times New Roman" w:cs="Times New Roman"/>
        </w:rPr>
        <w:t xml:space="preserve"> </w:t>
      </w:r>
      <w:r w:rsidRPr="00182B29">
        <w:rPr>
          <w:rFonts w:ascii="Times New Roman" w:hAnsi="Times New Roman" w:cs="Times New Roman"/>
          <w:sz w:val="24"/>
          <w:szCs w:val="24"/>
        </w:rPr>
        <w:t xml:space="preserve">Yıllarını kapsayan Sarıyer Belediye Stratejik Planı </w:t>
      </w:r>
      <w:proofErr w:type="gramStart"/>
      <w:r w:rsidRPr="00182B29">
        <w:rPr>
          <w:rFonts w:ascii="Times New Roman" w:hAnsi="Times New Roman" w:cs="Times New Roman"/>
          <w:sz w:val="24"/>
          <w:szCs w:val="24"/>
        </w:rPr>
        <w:t>ile;</w:t>
      </w:r>
      <w:proofErr w:type="gramEnd"/>
    </w:p>
    <w:p w:rsidR="00FC5E2D" w:rsidRDefault="00FC5E2D" w:rsidP="00B879AF">
      <w:pPr>
        <w:jc w:val="both"/>
        <w:rPr>
          <w:rFonts w:ascii="Times New Roman" w:hAnsi="Times New Roman" w:cs="Times New Roman"/>
          <w:sz w:val="24"/>
          <w:szCs w:val="24"/>
        </w:rPr>
      </w:pPr>
      <w:r w:rsidRPr="00182B29">
        <w:rPr>
          <w:rFonts w:ascii="Times New Roman" w:hAnsi="Times New Roman" w:cs="Times New Roman"/>
          <w:sz w:val="24"/>
          <w:szCs w:val="24"/>
        </w:rPr>
        <w:t>Misyon; “</w:t>
      </w:r>
      <w:r w:rsidRPr="00182B29">
        <w:rPr>
          <w:rFonts w:ascii="Times New Roman" w:hAnsi="Times New Roman" w:cs="Times New Roman"/>
        </w:rPr>
        <w:t>Çağdaş yerel yönetim anlayışı doğrultusunda, şeffaflık, katılımcılık ve eşitlik ilkelerini temel alarak yaşamın her alanında hizmet vermek.</w:t>
      </w:r>
      <w:r w:rsidRPr="00182B29">
        <w:rPr>
          <w:rFonts w:ascii="Times New Roman" w:hAnsi="Times New Roman" w:cs="Times New Roman"/>
          <w:sz w:val="24"/>
          <w:szCs w:val="24"/>
        </w:rPr>
        <w:t>’’ olarak belirlenmiştir.</w:t>
      </w:r>
      <w:r w:rsidR="00B879AF">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FC5E2D" w:rsidRDefault="00FC5E2D" w:rsidP="00FC5E2D">
      <w:pPr>
        <w:jc w:val="both"/>
        <w:rPr>
          <w:rFonts w:ascii="Times New Roman" w:hAnsi="Times New Roman" w:cs="Times New Roman"/>
          <w:sz w:val="24"/>
          <w:szCs w:val="24"/>
        </w:rPr>
      </w:pPr>
    </w:p>
    <w:p w:rsidR="00FC5E2D" w:rsidRPr="00182B29" w:rsidRDefault="00FC5E2D" w:rsidP="00FC5E2D">
      <w:pPr>
        <w:jc w:val="both"/>
        <w:rPr>
          <w:rFonts w:ascii="Times New Roman" w:hAnsi="Times New Roman" w:cs="Times New Roman"/>
          <w:sz w:val="24"/>
          <w:szCs w:val="24"/>
        </w:rPr>
      </w:pPr>
      <w:r w:rsidRPr="00182B29">
        <w:rPr>
          <w:rFonts w:ascii="Times New Roman" w:hAnsi="Times New Roman" w:cs="Times New Roman"/>
          <w:sz w:val="24"/>
          <w:szCs w:val="24"/>
        </w:rPr>
        <w:t xml:space="preserve">Vizyon ise; </w:t>
      </w:r>
      <w:r w:rsidRPr="00182B29">
        <w:rPr>
          <w:rFonts w:ascii="Times New Roman" w:hAnsi="Times New Roman" w:cs="Times New Roman"/>
        </w:rPr>
        <w:t>”Sarıyer’in geleceğini bütün paydaşlarıyla birlikte planlayan, sosyal belediyecilik anlayışıyla marka projelerini geliştiren ve sürdürülebilir yerel kalkınmayı teşvik eden bir belediye olmak”</w:t>
      </w:r>
      <w:r w:rsidRPr="00182B29">
        <w:rPr>
          <w:rFonts w:ascii="Times New Roman" w:hAnsi="Times New Roman" w:cs="Times New Roman"/>
          <w:sz w:val="24"/>
          <w:szCs w:val="24"/>
        </w:rPr>
        <w:t xml:space="preserve"> olarak belirlenmiştir.</w:t>
      </w:r>
    </w:p>
    <w:p w:rsidR="00FC5E2D" w:rsidRPr="00182B29" w:rsidRDefault="00FC5E2D" w:rsidP="00FC5E2D">
      <w:pPr>
        <w:jc w:val="both"/>
        <w:rPr>
          <w:rFonts w:ascii="Times New Roman" w:hAnsi="Times New Roman" w:cs="Times New Roman"/>
          <w:sz w:val="24"/>
          <w:szCs w:val="24"/>
        </w:rPr>
      </w:pPr>
      <w:r w:rsidRPr="00182B29">
        <w:rPr>
          <w:rFonts w:ascii="Times New Roman" w:hAnsi="Times New Roman" w:cs="Times New Roman"/>
          <w:sz w:val="24"/>
          <w:szCs w:val="24"/>
        </w:rPr>
        <w:t xml:space="preserve">Misyonu yerine getirebilmek ve </w:t>
      </w:r>
      <w:proofErr w:type="gramStart"/>
      <w:r w:rsidRPr="00182B29">
        <w:rPr>
          <w:rFonts w:ascii="Times New Roman" w:hAnsi="Times New Roman" w:cs="Times New Roman"/>
          <w:sz w:val="24"/>
          <w:szCs w:val="24"/>
        </w:rPr>
        <w:t>vizyona</w:t>
      </w:r>
      <w:proofErr w:type="gramEnd"/>
      <w:r w:rsidRPr="00182B29">
        <w:rPr>
          <w:rFonts w:ascii="Times New Roman" w:hAnsi="Times New Roman" w:cs="Times New Roman"/>
          <w:sz w:val="24"/>
          <w:szCs w:val="24"/>
        </w:rPr>
        <w:t xml:space="preserve"> ulaşmak için aşağıda belirtilen 10 adet amaç belirlenmiştir.</w:t>
      </w:r>
    </w:p>
    <w:p w:rsidR="00FC5E2D" w:rsidRPr="00182B29" w:rsidRDefault="00FC5E2D" w:rsidP="00FC5E2D">
      <w:pPr>
        <w:numPr>
          <w:ilvl w:val="0"/>
          <w:numId w:val="10"/>
        </w:numPr>
        <w:spacing w:after="160" w:line="259" w:lineRule="auto"/>
        <w:contextualSpacing/>
        <w:jc w:val="both"/>
        <w:rPr>
          <w:rFonts w:ascii="Times New Roman" w:hAnsi="Times New Roman" w:cs="Times New Roman"/>
          <w:sz w:val="24"/>
          <w:szCs w:val="24"/>
        </w:rPr>
      </w:pPr>
      <w:proofErr w:type="gramStart"/>
      <w:r w:rsidRPr="00182B29">
        <w:rPr>
          <w:rFonts w:ascii="Times New Roman" w:hAnsi="Times New Roman" w:cs="Times New Roman"/>
          <w:sz w:val="24"/>
          <w:szCs w:val="24"/>
        </w:rPr>
        <w:t>“</w:t>
      </w:r>
      <w:r w:rsidRPr="00182B29">
        <w:rPr>
          <w:rFonts w:ascii="Times New Roman" w:hAnsi="Times New Roman" w:cs="Times New Roman"/>
        </w:rPr>
        <w:t>Belediye hizmetlerinin daha etkin bir biçimde yapılabilmesi için kurumsal yapının ve kurum kültürünün geliştirilmesi, iç ve dış paydaşların yönetim süreçlerine etkin ve sürekli katılımlarının sağlanması, güçlü ve sürdürülebilir teknolojik altyapıya sahip olunması, sahip olunan kaynakların etkili ve koordineli kullanılarak kurumsal hafıza süreçlerinin güçlendirilmesi</w:t>
      </w:r>
      <w:r w:rsidRPr="00182B29">
        <w:rPr>
          <w:rFonts w:ascii="Times New Roman" w:hAnsi="Times New Roman" w:cs="Times New Roman"/>
          <w:sz w:val="24"/>
          <w:szCs w:val="24"/>
        </w:rPr>
        <w:t xml:space="preserve"> ”amacı için 13 performans hedefi 31 faaliyet ve 211.829.000,00 TL ödenek öngörüldüğü tespit edilmiştir.</w:t>
      </w:r>
      <w:proofErr w:type="gramEnd"/>
    </w:p>
    <w:p w:rsidR="00FC5E2D" w:rsidRPr="00182B29" w:rsidRDefault="00FC5E2D" w:rsidP="00FC5E2D">
      <w:pPr>
        <w:spacing w:after="160" w:line="259" w:lineRule="auto"/>
        <w:ind w:left="1080"/>
        <w:contextualSpacing/>
        <w:jc w:val="both"/>
        <w:rPr>
          <w:rFonts w:ascii="Times New Roman" w:hAnsi="Times New Roman" w:cs="Times New Roman"/>
          <w:sz w:val="24"/>
          <w:szCs w:val="24"/>
        </w:rPr>
      </w:pPr>
    </w:p>
    <w:p w:rsidR="00FC5E2D" w:rsidRPr="00182B29" w:rsidRDefault="00FC5E2D" w:rsidP="00FC5E2D">
      <w:pPr>
        <w:numPr>
          <w:ilvl w:val="0"/>
          <w:numId w:val="10"/>
        </w:numPr>
        <w:spacing w:after="160" w:line="259" w:lineRule="auto"/>
        <w:contextualSpacing/>
        <w:jc w:val="both"/>
        <w:rPr>
          <w:rFonts w:ascii="Times New Roman" w:hAnsi="Times New Roman" w:cs="Times New Roman"/>
          <w:sz w:val="24"/>
          <w:szCs w:val="24"/>
        </w:rPr>
      </w:pPr>
      <w:r w:rsidRPr="00182B29">
        <w:rPr>
          <w:rFonts w:ascii="Times New Roman" w:hAnsi="Times New Roman" w:cs="Times New Roman"/>
          <w:sz w:val="24"/>
          <w:szCs w:val="24"/>
        </w:rPr>
        <w:t>“</w:t>
      </w:r>
      <w:r w:rsidRPr="00182B29">
        <w:rPr>
          <w:rFonts w:ascii="Times New Roman" w:hAnsi="Times New Roman" w:cs="Times New Roman"/>
        </w:rPr>
        <w:t>Doğaya saygı anlayışıyla; temiz, tüm canlılar için doğal, yaşanılabilir bir çevrenin oluşturulması ve sürdürülmesi</w:t>
      </w:r>
      <w:r w:rsidRPr="00182B29">
        <w:rPr>
          <w:rFonts w:ascii="Times New Roman" w:hAnsi="Times New Roman" w:cs="Times New Roman"/>
          <w:sz w:val="24"/>
          <w:szCs w:val="24"/>
        </w:rPr>
        <w:t xml:space="preserve"> ”amacı için 6 performans hedefi 21 faaliyet ve 94.516.000,00 TL ödenek öngörüldüğü tespit edilmiştir.</w:t>
      </w:r>
    </w:p>
    <w:p w:rsidR="00FC5E2D" w:rsidRPr="00182B29" w:rsidRDefault="00FC5E2D" w:rsidP="00FC5E2D">
      <w:pPr>
        <w:spacing w:after="160" w:line="259" w:lineRule="auto"/>
        <w:ind w:left="1080"/>
        <w:contextualSpacing/>
        <w:jc w:val="both"/>
        <w:rPr>
          <w:rFonts w:ascii="Times New Roman" w:hAnsi="Times New Roman" w:cs="Times New Roman"/>
          <w:sz w:val="24"/>
          <w:szCs w:val="24"/>
        </w:rPr>
      </w:pPr>
    </w:p>
    <w:p w:rsidR="00FC5E2D" w:rsidRPr="00182B29" w:rsidRDefault="00FC5E2D" w:rsidP="00FC5E2D">
      <w:pPr>
        <w:numPr>
          <w:ilvl w:val="0"/>
          <w:numId w:val="10"/>
        </w:numPr>
        <w:spacing w:after="160" w:line="259" w:lineRule="auto"/>
        <w:contextualSpacing/>
        <w:jc w:val="both"/>
        <w:rPr>
          <w:rFonts w:ascii="Times New Roman" w:hAnsi="Times New Roman" w:cs="Times New Roman"/>
          <w:sz w:val="24"/>
          <w:szCs w:val="24"/>
        </w:rPr>
      </w:pPr>
      <w:r w:rsidRPr="00182B29">
        <w:rPr>
          <w:rFonts w:ascii="Times New Roman" w:hAnsi="Times New Roman" w:cs="Times New Roman"/>
          <w:sz w:val="24"/>
          <w:szCs w:val="24"/>
        </w:rPr>
        <w:t>“</w:t>
      </w:r>
      <w:r w:rsidRPr="00182B29">
        <w:rPr>
          <w:rFonts w:ascii="Times New Roman" w:hAnsi="Times New Roman" w:cs="Times New Roman"/>
        </w:rPr>
        <w:t>Sosyal risk gruplarını tespit ederek önleyici ve destekleyici sosyal politikalar gerçekleştirilmesi, toplumun bütün kesimlerinin sosyal beklentilerinin karşılanması</w:t>
      </w:r>
      <w:r w:rsidRPr="00182B29">
        <w:rPr>
          <w:rFonts w:ascii="Times New Roman" w:hAnsi="Times New Roman" w:cs="Times New Roman"/>
          <w:sz w:val="24"/>
          <w:szCs w:val="24"/>
        </w:rPr>
        <w:t xml:space="preserve"> ” amacı için 4 performans hedefi 7 faaliyet ve 11.977.000,00 TL ödenek öngörüldüğü tespit edilmiştir.</w:t>
      </w:r>
    </w:p>
    <w:p w:rsidR="00FC5E2D" w:rsidRPr="00182B29" w:rsidRDefault="00FC5E2D" w:rsidP="00FC5E2D">
      <w:pPr>
        <w:spacing w:after="160" w:line="259" w:lineRule="auto"/>
        <w:ind w:left="720"/>
        <w:contextualSpacing/>
        <w:jc w:val="both"/>
        <w:rPr>
          <w:rFonts w:ascii="Times New Roman" w:hAnsi="Times New Roman" w:cs="Times New Roman"/>
          <w:sz w:val="24"/>
          <w:szCs w:val="24"/>
        </w:rPr>
      </w:pPr>
    </w:p>
    <w:p w:rsidR="00FC5E2D" w:rsidRPr="00182B29" w:rsidRDefault="00FC5E2D" w:rsidP="00FC5E2D">
      <w:pPr>
        <w:spacing w:after="160" w:line="259" w:lineRule="auto"/>
        <w:ind w:left="1080"/>
        <w:contextualSpacing/>
        <w:jc w:val="both"/>
        <w:rPr>
          <w:rFonts w:ascii="Times New Roman" w:hAnsi="Times New Roman" w:cs="Times New Roman"/>
          <w:sz w:val="24"/>
          <w:szCs w:val="24"/>
        </w:rPr>
      </w:pPr>
    </w:p>
    <w:p w:rsidR="00FC5E2D" w:rsidRPr="00182B29" w:rsidRDefault="00FC5E2D" w:rsidP="00FC5E2D">
      <w:pPr>
        <w:numPr>
          <w:ilvl w:val="0"/>
          <w:numId w:val="10"/>
        </w:numPr>
        <w:spacing w:after="160" w:line="259" w:lineRule="auto"/>
        <w:contextualSpacing/>
        <w:jc w:val="both"/>
        <w:rPr>
          <w:rFonts w:ascii="Times New Roman" w:hAnsi="Times New Roman" w:cs="Times New Roman"/>
          <w:sz w:val="24"/>
          <w:szCs w:val="24"/>
        </w:rPr>
      </w:pPr>
      <w:r w:rsidRPr="00182B29">
        <w:rPr>
          <w:rFonts w:ascii="Times New Roman" w:hAnsi="Times New Roman" w:cs="Times New Roman"/>
          <w:sz w:val="24"/>
          <w:szCs w:val="24"/>
        </w:rPr>
        <w:t>”</w:t>
      </w:r>
      <w:r w:rsidRPr="00182B29">
        <w:rPr>
          <w:rFonts w:ascii="Times New Roman" w:hAnsi="Times New Roman" w:cs="Times New Roman"/>
        </w:rPr>
        <w:t xml:space="preserve"> Sporu ve sporcuyu teşvik ederek; spor bilinci ve kültürünü yaygınlaştıran, bütün vatandaşları kapsayıcı spor alanlarının oluşturulması, proje ve etkinliklerin yürütülmesi</w:t>
      </w:r>
      <w:r w:rsidRPr="00182B29">
        <w:rPr>
          <w:rFonts w:ascii="Times New Roman" w:hAnsi="Times New Roman" w:cs="Times New Roman"/>
          <w:sz w:val="24"/>
          <w:szCs w:val="24"/>
        </w:rPr>
        <w:t>” amacı için 2 performans hedefi 5 faaliyet ve 2.441.000,00 TL ödenek öngörüldüğü tespit edilmiştir.</w:t>
      </w:r>
    </w:p>
    <w:p w:rsidR="00FC5E2D" w:rsidRPr="00182B29" w:rsidRDefault="00FC5E2D" w:rsidP="00FC5E2D">
      <w:pPr>
        <w:jc w:val="both"/>
        <w:rPr>
          <w:rFonts w:ascii="Times New Roman" w:hAnsi="Times New Roman" w:cs="Times New Roman"/>
          <w:sz w:val="24"/>
          <w:szCs w:val="24"/>
        </w:rPr>
      </w:pPr>
    </w:p>
    <w:p w:rsidR="00FC5E2D" w:rsidRPr="00182B29" w:rsidRDefault="00FC5E2D" w:rsidP="00FC5E2D">
      <w:pPr>
        <w:numPr>
          <w:ilvl w:val="0"/>
          <w:numId w:val="10"/>
        </w:numPr>
        <w:spacing w:after="160" w:line="259" w:lineRule="auto"/>
        <w:contextualSpacing/>
        <w:jc w:val="both"/>
        <w:rPr>
          <w:rFonts w:ascii="Times New Roman" w:hAnsi="Times New Roman" w:cs="Times New Roman"/>
          <w:sz w:val="24"/>
          <w:szCs w:val="24"/>
        </w:rPr>
      </w:pPr>
      <w:r w:rsidRPr="00182B29">
        <w:rPr>
          <w:rFonts w:ascii="Times New Roman" w:hAnsi="Times New Roman" w:cs="Times New Roman"/>
          <w:sz w:val="24"/>
          <w:szCs w:val="24"/>
        </w:rPr>
        <w:t>“</w:t>
      </w:r>
      <w:r w:rsidRPr="00182B29">
        <w:rPr>
          <w:rFonts w:ascii="Times New Roman" w:hAnsi="Times New Roman" w:cs="Times New Roman"/>
        </w:rPr>
        <w:t>Merkezi sağlık hizmetlerine destek vererek halkın sağlık hizmetlerine ulaşımının kolaylaştırılması, önleyici ve koruyucu sağlık hizmetlerinin verimli bir şekilde sunulması</w:t>
      </w:r>
      <w:r w:rsidRPr="00182B29">
        <w:rPr>
          <w:rFonts w:ascii="Times New Roman" w:hAnsi="Times New Roman" w:cs="Times New Roman"/>
          <w:sz w:val="24"/>
          <w:szCs w:val="24"/>
        </w:rPr>
        <w:t>” amacı için 2 performans hedefi 4 faaliyet ve 7.642.000,00 TL ödenek öngörüldüğü tespit edilmiştir.</w:t>
      </w:r>
    </w:p>
    <w:p w:rsidR="00FC5E2D" w:rsidRPr="00182B29" w:rsidRDefault="00FC5E2D" w:rsidP="00FC5E2D">
      <w:pPr>
        <w:spacing w:after="160" w:line="259" w:lineRule="auto"/>
        <w:ind w:left="1080"/>
        <w:contextualSpacing/>
        <w:jc w:val="both"/>
        <w:rPr>
          <w:rFonts w:ascii="Times New Roman" w:hAnsi="Times New Roman" w:cs="Times New Roman"/>
          <w:sz w:val="24"/>
          <w:szCs w:val="24"/>
        </w:rPr>
      </w:pPr>
    </w:p>
    <w:p w:rsidR="00FC5E2D" w:rsidRPr="00182B29" w:rsidRDefault="00FC5E2D" w:rsidP="00FC5E2D">
      <w:pPr>
        <w:spacing w:after="160" w:line="259" w:lineRule="auto"/>
        <w:ind w:left="1080"/>
        <w:contextualSpacing/>
        <w:jc w:val="both"/>
        <w:rPr>
          <w:rFonts w:ascii="Times New Roman" w:hAnsi="Times New Roman" w:cs="Times New Roman"/>
          <w:sz w:val="24"/>
          <w:szCs w:val="24"/>
        </w:rPr>
      </w:pPr>
    </w:p>
    <w:p w:rsidR="00FC5E2D" w:rsidRPr="00182B29" w:rsidRDefault="00FC5E2D" w:rsidP="00FC5E2D">
      <w:pPr>
        <w:numPr>
          <w:ilvl w:val="0"/>
          <w:numId w:val="10"/>
        </w:numPr>
        <w:spacing w:after="160" w:line="259" w:lineRule="auto"/>
        <w:contextualSpacing/>
        <w:jc w:val="both"/>
        <w:rPr>
          <w:rFonts w:ascii="Times New Roman" w:hAnsi="Times New Roman" w:cs="Times New Roman"/>
          <w:sz w:val="24"/>
          <w:szCs w:val="24"/>
        </w:rPr>
      </w:pPr>
      <w:r w:rsidRPr="00182B29">
        <w:rPr>
          <w:rFonts w:ascii="Times New Roman" w:hAnsi="Times New Roman" w:cs="Times New Roman"/>
          <w:sz w:val="24"/>
          <w:szCs w:val="24"/>
        </w:rPr>
        <w:t>”</w:t>
      </w:r>
      <w:r w:rsidRPr="00182B29">
        <w:rPr>
          <w:rFonts w:ascii="Times New Roman" w:hAnsi="Times New Roman" w:cs="Times New Roman"/>
        </w:rPr>
        <w:t xml:space="preserve"> Sarıyerlinin Sarıyer’de yaşama hakkının önde tutulduğu, altyapı ve üstyapı çalışmalarıyla yaşamının kolaylaştırıldığı, toplumun bütün kesimlerinin kent hizmetlerinden aynı oranda faydalandığı, kırsal, kentsel ve yeşil alanlarıyla bütünlüklü bir kent oluşturulması</w:t>
      </w:r>
      <w:r w:rsidRPr="00182B29">
        <w:rPr>
          <w:rFonts w:ascii="Times New Roman" w:hAnsi="Times New Roman" w:cs="Times New Roman"/>
          <w:sz w:val="24"/>
          <w:szCs w:val="24"/>
        </w:rPr>
        <w:t>” amacı için 9 performans hedefi 20 faaliyet ve 24.937.000,00 TL ödenek öngörüldüğü tespit edilmiştir.</w:t>
      </w:r>
    </w:p>
    <w:p w:rsidR="00FC5E2D" w:rsidRPr="00182B29" w:rsidRDefault="00FC5E2D" w:rsidP="00FC5E2D">
      <w:pPr>
        <w:spacing w:after="160" w:line="259" w:lineRule="auto"/>
        <w:ind w:left="1080"/>
        <w:contextualSpacing/>
        <w:jc w:val="both"/>
        <w:rPr>
          <w:rFonts w:ascii="Times New Roman" w:hAnsi="Times New Roman" w:cs="Times New Roman"/>
          <w:sz w:val="24"/>
          <w:szCs w:val="24"/>
        </w:rPr>
      </w:pPr>
    </w:p>
    <w:p w:rsidR="00FC5E2D" w:rsidRPr="00182B29" w:rsidRDefault="00FC5E2D" w:rsidP="00FC5E2D">
      <w:pPr>
        <w:numPr>
          <w:ilvl w:val="0"/>
          <w:numId w:val="10"/>
        </w:numPr>
        <w:spacing w:after="160" w:line="259" w:lineRule="auto"/>
        <w:contextualSpacing/>
        <w:jc w:val="both"/>
        <w:rPr>
          <w:rFonts w:ascii="Times New Roman" w:hAnsi="Times New Roman" w:cs="Times New Roman"/>
          <w:sz w:val="24"/>
          <w:szCs w:val="24"/>
        </w:rPr>
      </w:pPr>
      <w:r w:rsidRPr="00182B29">
        <w:rPr>
          <w:rFonts w:ascii="Times New Roman" w:hAnsi="Times New Roman" w:cs="Times New Roman"/>
          <w:sz w:val="24"/>
          <w:szCs w:val="24"/>
        </w:rPr>
        <w:t>“</w:t>
      </w:r>
      <w:r w:rsidRPr="00182B29">
        <w:rPr>
          <w:rFonts w:ascii="Times New Roman" w:hAnsi="Times New Roman" w:cs="Times New Roman"/>
        </w:rPr>
        <w:t>Çocuklar, gençler, yetişkinler ve belediye çalışanlarına yönelik yapılandırılmış eğitim çalışmalarının artırılarak yaygınlaştırılması, sürekliliğinin sağlanması ve eğitimde fırsat eşitliğinin desteklenmesi</w:t>
      </w:r>
      <w:r w:rsidRPr="00182B29">
        <w:rPr>
          <w:rFonts w:ascii="Times New Roman" w:hAnsi="Times New Roman" w:cs="Times New Roman"/>
          <w:sz w:val="24"/>
          <w:szCs w:val="24"/>
        </w:rPr>
        <w:t>” amacı için 2 performans hedefi 4 faaliyet ve 6.930.000,00 TL ödenek öngörüldüğü tespit edilmiştir.</w:t>
      </w:r>
    </w:p>
    <w:p w:rsidR="00FC5E2D" w:rsidRPr="00182B29" w:rsidRDefault="00FC5E2D" w:rsidP="00FC5E2D">
      <w:pPr>
        <w:spacing w:after="160" w:line="259" w:lineRule="auto"/>
        <w:ind w:left="720"/>
        <w:contextualSpacing/>
        <w:jc w:val="both"/>
        <w:rPr>
          <w:rFonts w:ascii="Times New Roman" w:hAnsi="Times New Roman" w:cs="Times New Roman"/>
          <w:sz w:val="24"/>
          <w:szCs w:val="24"/>
        </w:rPr>
      </w:pPr>
    </w:p>
    <w:p w:rsidR="00FC5E2D" w:rsidRPr="00182B29" w:rsidRDefault="00FC5E2D" w:rsidP="00FC5E2D">
      <w:pPr>
        <w:spacing w:after="160" w:line="259" w:lineRule="auto"/>
        <w:ind w:left="1080"/>
        <w:contextualSpacing/>
        <w:jc w:val="both"/>
        <w:rPr>
          <w:rFonts w:ascii="Times New Roman" w:hAnsi="Times New Roman" w:cs="Times New Roman"/>
          <w:sz w:val="24"/>
          <w:szCs w:val="24"/>
        </w:rPr>
      </w:pPr>
    </w:p>
    <w:p w:rsidR="00FC5E2D" w:rsidRPr="00182B29" w:rsidRDefault="00FC5E2D" w:rsidP="00FC5E2D">
      <w:pPr>
        <w:numPr>
          <w:ilvl w:val="0"/>
          <w:numId w:val="10"/>
        </w:numPr>
        <w:spacing w:after="160" w:line="259" w:lineRule="auto"/>
        <w:contextualSpacing/>
        <w:jc w:val="both"/>
        <w:rPr>
          <w:rFonts w:ascii="Times New Roman" w:hAnsi="Times New Roman" w:cs="Times New Roman"/>
          <w:sz w:val="24"/>
          <w:szCs w:val="24"/>
        </w:rPr>
      </w:pPr>
      <w:r w:rsidRPr="00182B29">
        <w:rPr>
          <w:rFonts w:ascii="Times New Roman" w:hAnsi="Times New Roman" w:cs="Times New Roman"/>
        </w:rPr>
        <w:t>“Tarihi bir dokuya ve zengin bir kültüre sahip olan Sarıyer’in bilinirliği artırılarak turistik, kültürel ve sanat alanında marka haline getirilmesi</w:t>
      </w:r>
      <w:r w:rsidRPr="00182B29">
        <w:rPr>
          <w:rFonts w:ascii="Times New Roman" w:hAnsi="Times New Roman" w:cs="Times New Roman"/>
          <w:sz w:val="24"/>
          <w:szCs w:val="24"/>
        </w:rPr>
        <w:t>” amacı için 3 performans hedefi 11faaliyet ve 11.110.000,00 TL ödenek öngörüldüğü tespit edilmiştir.</w:t>
      </w:r>
    </w:p>
    <w:p w:rsidR="00FC5E2D" w:rsidRPr="00182B29" w:rsidRDefault="00FC5E2D" w:rsidP="00FC5E2D">
      <w:pPr>
        <w:spacing w:after="160" w:line="259" w:lineRule="auto"/>
        <w:ind w:left="1080"/>
        <w:contextualSpacing/>
        <w:jc w:val="both"/>
        <w:rPr>
          <w:rFonts w:ascii="Times New Roman" w:hAnsi="Times New Roman" w:cs="Times New Roman"/>
          <w:sz w:val="24"/>
          <w:szCs w:val="24"/>
        </w:rPr>
      </w:pPr>
    </w:p>
    <w:p w:rsidR="00FC5E2D" w:rsidRPr="00182B29" w:rsidRDefault="00FC5E2D" w:rsidP="00FC5E2D">
      <w:pPr>
        <w:numPr>
          <w:ilvl w:val="0"/>
          <w:numId w:val="10"/>
        </w:numPr>
        <w:spacing w:after="160" w:line="259" w:lineRule="auto"/>
        <w:contextualSpacing/>
        <w:jc w:val="both"/>
        <w:rPr>
          <w:rFonts w:ascii="Times New Roman" w:hAnsi="Times New Roman" w:cs="Times New Roman"/>
        </w:rPr>
      </w:pPr>
      <w:r w:rsidRPr="00182B29">
        <w:rPr>
          <w:rFonts w:ascii="Times New Roman" w:hAnsi="Times New Roman" w:cs="Times New Roman"/>
        </w:rPr>
        <w:t>“Yerel kalkınmaya yönelik projeler üretilmesi ve turizm potansiyelinin ortaya konulması” amacı için 4 performans hedefi 6 faaliyet ve 570.000,00 TL ödenek öngörüldüğü tespit edilmiştir.</w:t>
      </w:r>
    </w:p>
    <w:p w:rsidR="00FC5E2D" w:rsidRPr="00182B29" w:rsidRDefault="00FC5E2D" w:rsidP="00FC5E2D">
      <w:pPr>
        <w:spacing w:after="160" w:line="259" w:lineRule="auto"/>
        <w:ind w:left="720"/>
        <w:contextualSpacing/>
        <w:jc w:val="both"/>
        <w:rPr>
          <w:rFonts w:ascii="Times New Roman" w:hAnsi="Times New Roman" w:cs="Times New Roman"/>
        </w:rPr>
      </w:pPr>
    </w:p>
    <w:p w:rsidR="00FC5E2D" w:rsidRPr="00182B29" w:rsidRDefault="00FC5E2D" w:rsidP="00FC5E2D">
      <w:pPr>
        <w:spacing w:after="160" w:line="259" w:lineRule="auto"/>
        <w:ind w:left="1080"/>
        <w:contextualSpacing/>
        <w:jc w:val="both"/>
        <w:rPr>
          <w:rFonts w:ascii="Times New Roman" w:hAnsi="Times New Roman" w:cs="Times New Roman"/>
        </w:rPr>
      </w:pPr>
    </w:p>
    <w:p w:rsidR="00FC5E2D" w:rsidRPr="00182B29" w:rsidRDefault="00FC5E2D" w:rsidP="00FC5E2D">
      <w:pPr>
        <w:numPr>
          <w:ilvl w:val="0"/>
          <w:numId w:val="10"/>
        </w:numPr>
        <w:spacing w:after="160" w:line="259" w:lineRule="auto"/>
        <w:contextualSpacing/>
        <w:jc w:val="both"/>
        <w:rPr>
          <w:rFonts w:ascii="Times New Roman" w:hAnsi="Times New Roman" w:cs="Times New Roman"/>
        </w:rPr>
      </w:pPr>
      <w:r w:rsidRPr="00182B29">
        <w:rPr>
          <w:rFonts w:ascii="Times New Roman" w:hAnsi="Times New Roman" w:cs="Times New Roman"/>
        </w:rPr>
        <w:t>“Daha yaşanılabilir ve güvenli bir Sarıyer için; afet riskini en aza indirerek, olası afet durumlarında gerekli önlemlerin alınması ve belediye kolluk faaliyetleriyle vatandaşların esenliğinin sağlanması ”amacı için 3 performans hedefi 5 faaliyet 701.000,00 TL ödenek öngörüldüğü tespit edilmiştir.</w:t>
      </w:r>
    </w:p>
    <w:p w:rsidR="00FC5E2D" w:rsidRPr="00182B29" w:rsidRDefault="00FC5E2D" w:rsidP="00FC5E2D">
      <w:pPr>
        <w:spacing w:after="160" w:line="259" w:lineRule="auto"/>
        <w:ind w:left="1080"/>
        <w:contextualSpacing/>
        <w:jc w:val="both"/>
        <w:rPr>
          <w:rFonts w:ascii="Times New Roman" w:hAnsi="Times New Roman" w:cs="Times New Roman"/>
          <w:sz w:val="24"/>
          <w:szCs w:val="24"/>
        </w:rPr>
      </w:pPr>
    </w:p>
    <w:p w:rsidR="00FC5E2D" w:rsidRDefault="00FC5E2D" w:rsidP="00FC5E2D">
      <w:pPr>
        <w:ind w:left="720"/>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FC5E2D" w:rsidRDefault="00FC5E2D" w:rsidP="00FC5E2D">
      <w:pPr>
        <w:ind w:left="720"/>
        <w:jc w:val="both"/>
        <w:rPr>
          <w:rFonts w:ascii="Times New Roman" w:hAnsi="Times New Roman" w:cs="Times New Roman"/>
          <w:sz w:val="24"/>
          <w:szCs w:val="24"/>
        </w:rPr>
      </w:pPr>
    </w:p>
    <w:p w:rsidR="00FC5E2D" w:rsidRDefault="00FC5E2D" w:rsidP="00FC5E2D">
      <w:pPr>
        <w:ind w:left="720"/>
        <w:jc w:val="both"/>
        <w:rPr>
          <w:rFonts w:ascii="Times New Roman" w:hAnsi="Times New Roman" w:cs="Times New Roman"/>
          <w:sz w:val="24"/>
          <w:szCs w:val="24"/>
        </w:rPr>
      </w:pPr>
    </w:p>
    <w:p w:rsidR="00B879AF" w:rsidRDefault="00B879AF" w:rsidP="00FC5E2D">
      <w:pPr>
        <w:ind w:left="720"/>
        <w:jc w:val="both"/>
        <w:rPr>
          <w:rFonts w:ascii="Times New Roman" w:hAnsi="Times New Roman" w:cs="Times New Roman"/>
          <w:sz w:val="24"/>
          <w:szCs w:val="24"/>
        </w:rPr>
      </w:pPr>
    </w:p>
    <w:p w:rsidR="00FC5E2D" w:rsidRPr="00182B29" w:rsidRDefault="00FC5E2D" w:rsidP="00B879AF">
      <w:pPr>
        <w:ind w:left="720"/>
        <w:jc w:val="both"/>
        <w:rPr>
          <w:rFonts w:ascii="Times New Roman" w:hAnsi="Times New Roman" w:cs="Times New Roman"/>
          <w:sz w:val="24"/>
          <w:szCs w:val="24"/>
        </w:rPr>
      </w:pPr>
      <w:r w:rsidRPr="00182B29">
        <w:rPr>
          <w:rFonts w:ascii="Times New Roman" w:hAnsi="Times New Roman" w:cs="Times New Roman"/>
          <w:sz w:val="24"/>
          <w:szCs w:val="24"/>
        </w:rPr>
        <w:t xml:space="preserve">Toplamda ise 2020 yılı için 372.653.000,00 TL </w:t>
      </w:r>
      <w:r w:rsidRPr="00182B29">
        <w:rPr>
          <w:rFonts w:ascii="Times New Roman" w:hAnsi="Times New Roman" w:cs="Times New Roman"/>
          <w:b/>
          <w:sz w:val="24"/>
          <w:szCs w:val="24"/>
        </w:rPr>
        <w:t>faaliyet gideri</w:t>
      </w:r>
      <w:r w:rsidRPr="00182B29">
        <w:rPr>
          <w:rFonts w:ascii="Times New Roman" w:hAnsi="Times New Roman" w:cs="Times New Roman"/>
          <w:sz w:val="24"/>
          <w:szCs w:val="24"/>
        </w:rPr>
        <w:t xml:space="preserve"> ve 107.253.000,00 TL </w:t>
      </w:r>
      <w:r w:rsidRPr="00182B29">
        <w:rPr>
          <w:rFonts w:ascii="Times New Roman" w:hAnsi="Times New Roman" w:cs="Times New Roman"/>
          <w:b/>
          <w:sz w:val="24"/>
          <w:szCs w:val="24"/>
        </w:rPr>
        <w:t>genel yönetim gideri</w:t>
      </w:r>
      <w:r w:rsidRPr="00182B29">
        <w:rPr>
          <w:rFonts w:ascii="Times New Roman" w:hAnsi="Times New Roman" w:cs="Times New Roman"/>
          <w:sz w:val="24"/>
          <w:szCs w:val="24"/>
        </w:rPr>
        <w:t xml:space="preserve"> hedeflendiği tespit edilmiştir.</w:t>
      </w:r>
    </w:p>
    <w:p w:rsidR="00B879AF" w:rsidRDefault="00B879AF" w:rsidP="00B879AF">
      <w:pPr>
        <w:spacing w:after="0" w:line="240" w:lineRule="auto"/>
        <w:jc w:val="both"/>
        <w:rPr>
          <w:rFonts w:ascii="Times New Roman" w:eastAsia="Times New Roman" w:hAnsi="Times New Roman" w:cs="Times New Roman"/>
          <w:sz w:val="24"/>
          <w:szCs w:val="24"/>
          <w:lang w:eastAsia="tr-TR"/>
        </w:rPr>
      </w:pPr>
      <w:r w:rsidRPr="00B879AF">
        <w:rPr>
          <w:rFonts w:ascii="Times New Roman" w:eastAsia="Times New Roman" w:hAnsi="Times New Roman" w:cs="Times New Roman"/>
          <w:sz w:val="24"/>
          <w:szCs w:val="24"/>
          <w:lang w:eastAsia="tr-TR"/>
        </w:rPr>
        <w:t xml:space="preserve">           </w:t>
      </w:r>
      <w:r w:rsidR="00FC5E2D" w:rsidRPr="00B879AF">
        <w:rPr>
          <w:rFonts w:ascii="Times New Roman" w:eastAsia="Times New Roman" w:hAnsi="Times New Roman" w:cs="Times New Roman"/>
          <w:sz w:val="24"/>
          <w:szCs w:val="24"/>
          <w:lang w:eastAsia="tr-TR"/>
        </w:rPr>
        <w:t xml:space="preserve">  5018 sayılı Kamu Mali Yönetimi ve Kontrol Kanunu 9. maddesi ile 5393 sayılı Belediye </w:t>
      </w:r>
      <w:r>
        <w:rPr>
          <w:rFonts w:ascii="Times New Roman" w:eastAsia="Times New Roman" w:hAnsi="Times New Roman" w:cs="Times New Roman"/>
          <w:sz w:val="24"/>
          <w:szCs w:val="24"/>
          <w:lang w:eastAsia="tr-TR"/>
        </w:rPr>
        <w:t xml:space="preserve">              </w:t>
      </w:r>
    </w:p>
    <w:p w:rsidR="00B879AF" w:rsidRDefault="00B879AF" w:rsidP="00B879A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Kanunu’nun </w:t>
      </w:r>
      <w:r w:rsidR="00FC5E2D" w:rsidRPr="00B879AF">
        <w:rPr>
          <w:rFonts w:ascii="Times New Roman" w:eastAsia="Times New Roman" w:hAnsi="Times New Roman" w:cs="Times New Roman"/>
          <w:sz w:val="24"/>
          <w:szCs w:val="24"/>
          <w:lang w:eastAsia="tr-TR"/>
        </w:rPr>
        <w:t xml:space="preserve">41.maddesi gereği hazırlanan </w:t>
      </w:r>
      <w:proofErr w:type="gramStart"/>
      <w:r w:rsidR="00FC5E2D" w:rsidRPr="00B879AF">
        <w:rPr>
          <w:rFonts w:ascii="Times New Roman" w:eastAsia="Times New Roman" w:hAnsi="Times New Roman" w:cs="Times New Roman"/>
          <w:sz w:val="24"/>
          <w:szCs w:val="24"/>
          <w:lang w:eastAsia="tr-TR"/>
        </w:rPr>
        <w:t>Belediyemiz  2020</w:t>
      </w:r>
      <w:proofErr w:type="gramEnd"/>
      <w:r w:rsidR="00FC5E2D" w:rsidRPr="00B879AF">
        <w:rPr>
          <w:rFonts w:ascii="Times New Roman" w:eastAsia="Times New Roman" w:hAnsi="Times New Roman" w:cs="Times New Roman"/>
          <w:sz w:val="24"/>
          <w:szCs w:val="24"/>
          <w:lang w:eastAsia="tr-TR"/>
        </w:rPr>
        <w:t xml:space="preserve">  yılı Performans Programı </w:t>
      </w:r>
      <w:r>
        <w:rPr>
          <w:rFonts w:ascii="Times New Roman" w:eastAsia="Times New Roman" w:hAnsi="Times New Roman" w:cs="Times New Roman"/>
          <w:sz w:val="24"/>
          <w:szCs w:val="24"/>
          <w:lang w:eastAsia="tr-TR"/>
        </w:rPr>
        <w:t xml:space="preserve">         </w:t>
      </w:r>
    </w:p>
    <w:p w:rsidR="00B879AF" w:rsidRDefault="00B879AF" w:rsidP="00B879AF">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tr-TR"/>
        </w:rPr>
        <w:t xml:space="preserve">             </w:t>
      </w:r>
      <w:r w:rsidR="00FC5E2D" w:rsidRPr="00B879AF">
        <w:rPr>
          <w:rFonts w:ascii="Times New Roman" w:eastAsia="Times New Roman" w:hAnsi="Times New Roman" w:cs="Times New Roman"/>
          <w:sz w:val="24"/>
          <w:szCs w:val="24"/>
          <w:lang w:eastAsia="tr-TR"/>
        </w:rPr>
        <w:t>Komisyonlarımızca uygun görülmüştür. 10.10.2019</w:t>
      </w:r>
      <w:r w:rsidRPr="00B879AF">
        <w:rPr>
          <w:rFonts w:ascii="Times New Roman" w:eastAsia="Times New Roman" w:hAnsi="Times New Roman" w:cs="Times New Roman"/>
          <w:sz w:val="24"/>
          <w:szCs w:val="24"/>
          <w:lang w:eastAsia="tr-TR"/>
        </w:rPr>
        <w:t xml:space="preserve"> </w:t>
      </w:r>
      <w:r w:rsidR="0000500F" w:rsidRPr="00B879AF">
        <w:rPr>
          <w:rFonts w:ascii="Times New Roman" w:hAnsi="Times New Roman" w:cs="Times New Roman"/>
          <w:b/>
          <w:sz w:val="24"/>
          <w:szCs w:val="24"/>
        </w:rPr>
        <w:t xml:space="preserve">BÜTÇE KOMİSYONU </w:t>
      </w:r>
      <w:proofErr w:type="gramStart"/>
      <w:r w:rsidR="0000500F" w:rsidRPr="00B879AF">
        <w:rPr>
          <w:rFonts w:ascii="Times New Roman" w:hAnsi="Times New Roman" w:cs="Times New Roman"/>
          <w:b/>
          <w:sz w:val="24"/>
          <w:szCs w:val="24"/>
        </w:rPr>
        <w:t>ÜYELERİ :</w:t>
      </w:r>
      <w:proofErr w:type="gramEnd"/>
      <w:r w:rsidR="0000500F" w:rsidRPr="00B879AF">
        <w:rPr>
          <w:rFonts w:ascii="Times New Roman" w:hAnsi="Times New Roman" w:cs="Times New Roman"/>
          <w:b/>
          <w:sz w:val="24"/>
          <w:szCs w:val="24"/>
        </w:rPr>
        <w:t xml:space="preserve"> </w:t>
      </w:r>
    </w:p>
    <w:p w:rsidR="00B879AF" w:rsidRDefault="00B879AF" w:rsidP="00B879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0500F" w:rsidRPr="00B879AF">
        <w:rPr>
          <w:rFonts w:ascii="Times New Roman" w:hAnsi="Times New Roman" w:cs="Times New Roman"/>
          <w:sz w:val="24"/>
          <w:szCs w:val="24"/>
        </w:rPr>
        <w:t xml:space="preserve">Hayrettin </w:t>
      </w:r>
      <w:proofErr w:type="gramStart"/>
      <w:r w:rsidR="0000500F" w:rsidRPr="00B879AF">
        <w:rPr>
          <w:rFonts w:ascii="Times New Roman" w:hAnsi="Times New Roman" w:cs="Times New Roman"/>
          <w:sz w:val="24"/>
          <w:szCs w:val="24"/>
        </w:rPr>
        <w:t>DERELİ  Başkan</w:t>
      </w:r>
      <w:proofErr w:type="gramEnd"/>
      <w:r w:rsidR="0000500F" w:rsidRPr="00B879AF">
        <w:rPr>
          <w:rFonts w:ascii="Times New Roman" w:hAnsi="Times New Roman" w:cs="Times New Roman"/>
          <w:sz w:val="24"/>
          <w:szCs w:val="24"/>
        </w:rPr>
        <w:t>, Ayhan GEDİK Başkan Yardımcısı, Ünal</w:t>
      </w:r>
      <w:r w:rsidR="0000500F">
        <w:rPr>
          <w:rFonts w:ascii="Times New Roman" w:hAnsi="Times New Roman" w:cs="Times New Roman"/>
          <w:sz w:val="24"/>
          <w:szCs w:val="24"/>
        </w:rPr>
        <w:t xml:space="preserve"> CIVAK Üye,  Ergin DURDU </w:t>
      </w:r>
    </w:p>
    <w:p w:rsidR="00B879AF" w:rsidRDefault="00B879AF" w:rsidP="00B879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00F">
        <w:rPr>
          <w:rFonts w:ascii="Times New Roman" w:hAnsi="Times New Roman" w:cs="Times New Roman"/>
          <w:sz w:val="24"/>
          <w:szCs w:val="24"/>
        </w:rPr>
        <w:t xml:space="preserve">Üye, Salim KAİN Üye, </w:t>
      </w:r>
      <w:r w:rsidR="0000500F">
        <w:rPr>
          <w:rFonts w:ascii="Times New Roman" w:hAnsi="Times New Roman" w:cs="Times New Roman"/>
          <w:b/>
          <w:sz w:val="24"/>
          <w:szCs w:val="24"/>
        </w:rPr>
        <w:t xml:space="preserve">HUKUK KOMİSYONU </w:t>
      </w:r>
      <w:proofErr w:type="gramStart"/>
      <w:r w:rsidR="0000500F">
        <w:rPr>
          <w:rFonts w:ascii="Times New Roman" w:hAnsi="Times New Roman" w:cs="Times New Roman"/>
          <w:b/>
          <w:sz w:val="24"/>
          <w:szCs w:val="24"/>
        </w:rPr>
        <w:t xml:space="preserve">ÜYELERİ : </w:t>
      </w:r>
      <w:proofErr w:type="spellStart"/>
      <w:r w:rsidR="0000500F" w:rsidRPr="00890665">
        <w:rPr>
          <w:rFonts w:ascii="Times New Roman" w:hAnsi="Times New Roman" w:cs="Times New Roman"/>
          <w:sz w:val="24"/>
          <w:szCs w:val="24"/>
        </w:rPr>
        <w:t>Melendiz</w:t>
      </w:r>
      <w:proofErr w:type="spellEnd"/>
      <w:proofErr w:type="gramEnd"/>
      <w:r w:rsidR="0000500F" w:rsidRPr="00890665">
        <w:rPr>
          <w:rFonts w:ascii="Times New Roman" w:hAnsi="Times New Roman" w:cs="Times New Roman"/>
          <w:sz w:val="24"/>
          <w:szCs w:val="24"/>
        </w:rPr>
        <w:t xml:space="preserve"> DALYAN İZGİ</w:t>
      </w:r>
      <w:r w:rsidR="0000500F">
        <w:rPr>
          <w:rFonts w:ascii="Times New Roman" w:hAnsi="Times New Roman" w:cs="Times New Roman"/>
          <w:sz w:val="24"/>
          <w:szCs w:val="24"/>
        </w:rPr>
        <w:t xml:space="preserve"> Başkan,</w:t>
      </w:r>
      <w:r w:rsidR="0000500F" w:rsidRPr="00890665">
        <w:rPr>
          <w:rFonts w:ascii="Times New Roman" w:hAnsi="Times New Roman" w:cs="Times New Roman"/>
          <w:sz w:val="24"/>
          <w:szCs w:val="24"/>
        </w:rPr>
        <w:t xml:space="preserve">  </w:t>
      </w:r>
    </w:p>
    <w:p w:rsidR="00B879AF" w:rsidRDefault="00B879AF" w:rsidP="00B879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500F" w:rsidRPr="00890665">
        <w:rPr>
          <w:rFonts w:ascii="Times New Roman" w:hAnsi="Times New Roman" w:cs="Times New Roman"/>
          <w:sz w:val="24"/>
          <w:szCs w:val="24"/>
        </w:rPr>
        <w:t>Halim Serdar SARIOĞLU</w:t>
      </w:r>
      <w:r w:rsidR="0000500F">
        <w:rPr>
          <w:rFonts w:ascii="Times New Roman" w:hAnsi="Times New Roman" w:cs="Times New Roman"/>
          <w:sz w:val="24"/>
          <w:szCs w:val="24"/>
        </w:rPr>
        <w:t xml:space="preserve"> Başkan Yardımcısı,</w:t>
      </w:r>
      <w:r w:rsidR="0000500F" w:rsidRPr="00890665">
        <w:rPr>
          <w:rFonts w:ascii="Times New Roman" w:hAnsi="Times New Roman" w:cs="Times New Roman"/>
          <w:sz w:val="24"/>
          <w:szCs w:val="24"/>
        </w:rPr>
        <w:t xml:space="preserve">  Ali İhsan ÖZDEMİR</w:t>
      </w:r>
      <w:r w:rsidR="0000500F">
        <w:rPr>
          <w:rFonts w:ascii="Times New Roman" w:hAnsi="Times New Roman" w:cs="Times New Roman"/>
          <w:sz w:val="24"/>
          <w:szCs w:val="24"/>
        </w:rPr>
        <w:t xml:space="preserve"> Üye, </w:t>
      </w:r>
      <w:r w:rsidR="0000500F" w:rsidRPr="00890665">
        <w:rPr>
          <w:rFonts w:ascii="Times New Roman" w:hAnsi="Times New Roman" w:cs="Times New Roman"/>
          <w:sz w:val="24"/>
          <w:szCs w:val="24"/>
        </w:rPr>
        <w:t xml:space="preserve">Serkan KAYA </w:t>
      </w:r>
      <w:r w:rsidR="0000500F">
        <w:rPr>
          <w:rFonts w:ascii="Times New Roman" w:hAnsi="Times New Roman" w:cs="Times New Roman"/>
          <w:sz w:val="24"/>
          <w:szCs w:val="24"/>
        </w:rPr>
        <w:t>Üye,</w:t>
      </w:r>
      <w:r w:rsidR="0000500F" w:rsidRPr="00890665">
        <w:rPr>
          <w:rFonts w:ascii="Times New Roman" w:hAnsi="Times New Roman" w:cs="Times New Roman"/>
          <w:sz w:val="24"/>
          <w:szCs w:val="24"/>
        </w:rPr>
        <w:t xml:space="preserve"> </w:t>
      </w:r>
    </w:p>
    <w:p w:rsidR="00B879AF" w:rsidRDefault="00B879AF" w:rsidP="00B879AF">
      <w:pPr>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00500F" w:rsidRPr="00890665">
        <w:rPr>
          <w:rFonts w:ascii="Times New Roman" w:hAnsi="Times New Roman" w:cs="Times New Roman"/>
          <w:sz w:val="24"/>
          <w:szCs w:val="24"/>
        </w:rPr>
        <w:t>Salim KAİN</w:t>
      </w:r>
      <w:r w:rsidR="0000500F">
        <w:rPr>
          <w:rFonts w:ascii="Times New Roman" w:hAnsi="Times New Roman" w:cs="Times New Roman"/>
          <w:sz w:val="24"/>
          <w:szCs w:val="24"/>
        </w:rPr>
        <w:t xml:space="preserve"> Üye, </w:t>
      </w:r>
      <w:r w:rsidR="00F21AD1" w:rsidRPr="0096740A">
        <w:rPr>
          <w:rFonts w:ascii="Times New Roman" w:eastAsia="Times New Roman" w:hAnsi="Times New Roman" w:cs="Times New Roman"/>
          <w:b/>
          <w:sz w:val="24"/>
          <w:szCs w:val="24"/>
          <w:lang w:eastAsia="tr-TR"/>
        </w:rPr>
        <w:t>AVRUPA BİRLİĞİ KOMİSYONU ÜYELERİ</w:t>
      </w:r>
      <w:r w:rsidR="00F21AD1">
        <w:rPr>
          <w:rFonts w:ascii="Times New Roman" w:eastAsia="Times New Roman" w:hAnsi="Times New Roman" w:cs="Times New Roman"/>
          <w:b/>
          <w:sz w:val="24"/>
          <w:szCs w:val="24"/>
          <w:lang w:eastAsia="tr-TR"/>
        </w:rPr>
        <w:t xml:space="preserve">: </w:t>
      </w:r>
      <w:r w:rsidR="00F21AD1">
        <w:rPr>
          <w:rFonts w:ascii="Times New Roman" w:eastAsia="Times New Roman" w:hAnsi="Times New Roman" w:cs="Times New Roman"/>
          <w:sz w:val="24"/>
          <w:szCs w:val="24"/>
          <w:lang w:eastAsia="tr-TR"/>
        </w:rPr>
        <w:t xml:space="preserve">Mustafa </w:t>
      </w:r>
      <w:proofErr w:type="gramStart"/>
      <w:r w:rsidR="00F21AD1">
        <w:rPr>
          <w:rFonts w:ascii="Times New Roman" w:eastAsia="Times New Roman" w:hAnsi="Times New Roman" w:cs="Times New Roman"/>
          <w:sz w:val="24"/>
          <w:szCs w:val="24"/>
          <w:lang w:eastAsia="tr-TR"/>
        </w:rPr>
        <w:t>BALCI  Başkan</w:t>
      </w:r>
      <w:proofErr w:type="gramEnd"/>
      <w:r w:rsidR="00F21AD1">
        <w:rPr>
          <w:rFonts w:ascii="Times New Roman" w:eastAsia="Times New Roman" w:hAnsi="Times New Roman" w:cs="Times New Roman"/>
          <w:sz w:val="24"/>
          <w:szCs w:val="24"/>
          <w:lang w:eastAsia="tr-TR"/>
        </w:rPr>
        <w:t xml:space="preserve">, </w:t>
      </w:r>
    </w:p>
    <w:p w:rsidR="00B879AF" w:rsidRDefault="00B879AF" w:rsidP="00B879A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21AD1">
        <w:rPr>
          <w:rFonts w:ascii="Times New Roman" w:eastAsia="Times New Roman" w:hAnsi="Times New Roman" w:cs="Times New Roman"/>
          <w:sz w:val="24"/>
          <w:szCs w:val="24"/>
          <w:lang w:eastAsia="tr-TR"/>
        </w:rPr>
        <w:t xml:space="preserve">Vedat Taylan YILDIZ Başkan Yardımcısı, Özkan SUCU Üye,  Hasan DEMİRALP Üye, Tolga </w:t>
      </w:r>
    </w:p>
    <w:p w:rsidR="00B909F0" w:rsidRDefault="00B879AF" w:rsidP="00B879A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21AD1">
        <w:rPr>
          <w:rFonts w:ascii="Times New Roman" w:eastAsia="Times New Roman" w:hAnsi="Times New Roman" w:cs="Times New Roman"/>
          <w:sz w:val="24"/>
          <w:szCs w:val="24"/>
          <w:lang w:eastAsia="tr-TR"/>
        </w:rPr>
        <w:t>SAVUN Üye,</w:t>
      </w:r>
    </w:p>
    <w:p w:rsidR="00B879AF" w:rsidRDefault="00B879AF" w:rsidP="00CA2A7C">
      <w:pPr>
        <w:tabs>
          <w:tab w:val="left" w:pos="7005"/>
        </w:tabs>
        <w:ind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879AF" w:rsidRDefault="00B879AF" w:rsidP="00CA2A7C">
      <w:pPr>
        <w:tabs>
          <w:tab w:val="left" w:pos="7005"/>
        </w:tabs>
        <w:ind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2127" w:rsidRPr="00A02127">
        <w:rPr>
          <w:rFonts w:ascii="Times New Roman" w:hAnsi="Times New Roman" w:cs="Times New Roman"/>
          <w:sz w:val="24"/>
          <w:szCs w:val="24"/>
        </w:rPr>
        <w:t xml:space="preserve">Şeklindeki </w:t>
      </w:r>
      <w:r w:rsidR="00B909F0">
        <w:rPr>
          <w:rFonts w:ascii="Times New Roman" w:hAnsi="Times New Roman" w:cs="Times New Roman"/>
          <w:sz w:val="24"/>
          <w:szCs w:val="24"/>
        </w:rPr>
        <w:t xml:space="preserve">Bütçe </w:t>
      </w:r>
      <w:r w:rsidR="00F21AD1">
        <w:rPr>
          <w:rFonts w:ascii="Times New Roman" w:hAnsi="Times New Roman" w:cs="Times New Roman"/>
          <w:sz w:val="24"/>
          <w:szCs w:val="24"/>
        </w:rPr>
        <w:t>–</w:t>
      </w:r>
      <w:r w:rsidR="00B909F0">
        <w:rPr>
          <w:rFonts w:ascii="Times New Roman" w:hAnsi="Times New Roman" w:cs="Times New Roman"/>
          <w:sz w:val="24"/>
          <w:szCs w:val="24"/>
        </w:rPr>
        <w:t xml:space="preserve"> Hukuk</w:t>
      </w:r>
      <w:r w:rsidR="00F21AD1">
        <w:rPr>
          <w:rFonts w:ascii="Times New Roman" w:hAnsi="Times New Roman" w:cs="Times New Roman"/>
          <w:sz w:val="24"/>
          <w:szCs w:val="24"/>
        </w:rPr>
        <w:t xml:space="preserve"> ve Avrupa Birliği</w:t>
      </w:r>
      <w:r w:rsidR="00F46CC7">
        <w:rPr>
          <w:rFonts w:ascii="Times New Roman" w:hAnsi="Times New Roman" w:cs="Times New Roman"/>
          <w:sz w:val="24"/>
          <w:szCs w:val="24"/>
        </w:rPr>
        <w:t xml:space="preserve"> </w:t>
      </w:r>
      <w:r w:rsidR="00A02127" w:rsidRPr="00A02127">
        <w:rPr>
          <w:rFonts w:ascii="Times New Roman" w:hAnsi="Times New Roman" w:cs="Times New Roman"/>
          <w:sz w:val="24"/>
          <w:szCs w:val="24"/>
        </w:rPr>
        <w:t xml:space="preserve">Komisyonu müşterek raporu; Komisyonlardan </w:t>
      </w:r>
    </w:p>
    <w:p w:rsidR="00A02127" w:rsidRDefault="00B879AF" w:rsidP="00CA2A7C">
      <w:pPr>
        <w:tabs>
          <w:tab w:val="left" w:pos="7005"/>
        </w:tabs>
        <w:ind w:right="-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w:t>
      </w:r>
      <w:r w:rsidR="0000500F">
        <w:rPr>
          <w:rFonts w:ascii="Times New Roman" w:hAnsi="Times New Roman" w:cs="Times New Roman"/>
          <w:sz w:val="24"/>
          <w:szCs w:val="24"/>
        </w:rPr>
        <w:t>eldiği</w:t>
      </w:r>
      <w:r>
        <w:rPr>
          <w:rFonts w:ascii="Times New Roman" w:hAnsi="Times New Roman" w:cs="Times New Roman"/>
          <w:sz w:val="24"/>
          <w:szCs w:val="24"/>
        </w:rPr>
        <w:t xml:space="preserve">  </w:t>
      </w:r>
      <w:r w:rsidR="0000500F">
        <w:rPr>
          <w:rFonts w:ascii="Times New Roman" w:hAnsi="Times New Roman" w:cs="Times New Roman"/>
          <w:sz w:val="24"/>
          <w:szCs w:val="24"/>
        </w:rPr>
        <w:t>şekliyle</w:t>
      </w:r>
      <w:proofErr w:type="gramEnd"/>
      <w:r w:rsidR="0000500F">
        <w:rPr>
          <w:rFonts w:ascii="Times New Roman" w:hAnsi="Times New Roman" w:cs="Times New Roman"/>
          <w:sz w:val="24"/>
          <w:szCs w:val="24"/>
        </w:rPr>
        <w:t xml:space="preserve"> oya sunuldu. Oy</w:t>
      </w:r>
      <w:r w:rsidR="002E1A48">
        <w:rPr>
          <w:rFonts w:ascii="Times New Roman" w:hAnsi="Times New Roman" w:cs="Times New Roman"/>
          <w:sz w:val="24"/>
          <w:szCs w:val="24"/>
        </w:rPr>
        <w:t>çokluğuyla</w:t>
      </w:r>
      <w:bookmarkStart w:id="0" w:name="_GoBack"/>
      <w:bookmarkEnd w:id="0"/>
      <w:r w:rsidR="00A02127" w:rsidRPr="00A02127">
        <w:rPr>
          <w:rFonts w:ascii="Times New Roman" w:hAnsi="Times New Roman" w:cs="Times New Roman"/>
          <w:sz w:val="24"/>
          <w:szCs w:val="24"/>
        </w:rPr>
        <w:t xml:space="preserve"> kabul edildi.</w:t>
      </w:r>
    </w:p>
    <w:p w:rsidR="00B879AF" w:rsidRDefault="00B879AF" w:rsidP="00CA2A7C">
      <w:pPr>
        <w:tabs>
          <w:tab w:val="left" w:pos="7005"/>
        </w:tabs>
        <w:ind w:right="-142"/>
        <w:contextualSpacing/>
        <w:jc w:val="both"/>
        <w:rPr>
          <w:rFonts w:ascii="Times New Roman" w:hAnsi="Times New Roman" w:cs="Times New Roman"/>
          <w:sz w:val="24"/>
          <w:szCs w:val="24"/>
        </w:rPr>
      </w:pPr>
    </w:p>
    <w:p w:rsidR="00B879AF" w:rsidRPr="00A02127" w:rsidRDefault="00B879AF" w:rsidP="00CA2A7C">
      <w:pPr>
        <w:tabs>
          <w:tab w:val="left" w:pos="7005"/>
        </w:tabs>
        <w:ind w:right="-142"/>
        <w:contextualSpacing/>
        <w:jc w:val="both"/>
        <w:rPr>
          <w:rFonts w:ascii="Times New Roman" w:hAnsi="Times New Roman" w:cs="Times New Roman"/>
          <w:sz w:val="24"/>
          <w:szCs w:val="24"/>
        </w:rPr>
      </w:pPr>
    </w:p>
    <w:p w:rsidR="00A02127" w:rsidRDefault="00A02127" w:rsidP="00CA2A7C">
      <w:pPr>
        <w:tabs>
          <w:tab w:val="left" w:pos="7005"/>
        </w:tabs>
        <w:ind w:right="-142"/>
        <w:contextualSpacing/>
        <w:jc w:val="both"/>
        <w:rPr>
          <w:rFonts w:ascii="Times New Roman" w:hAnsi="Times New Roman" w:cs="Times New Roman"/>
          <w:b/>
          <w:sz w:val="24"/>
          <w:szCs w:val="24"/>
        </w:rPr>
      </w:pPr>
    </w:p>
    <w:p w:rsidR="00C95D7F" w:rsidRDefault="00C95D7F"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Hüseyin COŞKUN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Nihal YEŞİLBAŞ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Gülbin YÜCE</w:t>
      </w:r>
    </w:p>
    <w:p w:rsidR="00CA2A7C" w:rsidRDefault="00F50049" w:rsidP="00F21AD1">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Meclis Başkan Vekili                          </w:t>
      </w:r>
      <w:r w:rsidR="00CA2A7C"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r w:rsidR="004C1574">
        <w:rPr>
          <w:rFonts w:ascii="Times New Roman" w:hAnsi="Times New Roman" w:cs="Times New Roman"/>
          <w:b/>
          <w:sz w:val="24"/>
          <w:szCs w:val="24"/>
        </w:rPr>
        <w:t xml:space="preserve">              </w:t>
      </w:r>
      <w:proofErr w:type="gramStart"/>
      <w:r w:rsidR="004C1574">
        <w:rPr>
          <w:rFonts w:ascii="Times New Roman" w:hAnsi="Times New Roman" w:cs="Times New Roman"/>
          <w:b/>
          <w:sz w:val="24"/>
          <w:szCs w:val="24"/>
        </w:rPr>
        <w:t>Katip</w:t>
      </w:r>
      <w:proofErr w:type="gramEnd"/>
      <w:r w:rsidR="004C1574">
        <w:rPr>
          <w:rFonts w:ascii="Times New Roman" w:hAnsi="Times New Roman" w:cs="Times New Roman"/>
          <w:b/>
          <w:sz w:val="24"/>
          <w:szCs w:val="24"/>
        </w:rPr>
        <w:t xml:space="preserve">                                                    </w:t>
      </w:r>
      <w:proofErr w:type="spellStart"/>
      <w:r w:rsidR="004C1574">
        <w:rPr>
          <w:rFonts w:ascii="Times New Roman" w:hAnsi="Times New Roman" w:cs="Times New Roman"/>
          <w:b/>
          <w:sz w:val="24"/>
          <w:szCs w:val="24"/>
        </w:rPr>
        <w:t>Katip</w:t>
      </w:r>
      <w:proofErr w:type="spellEnd"/>
    </w:p>
    <w:p w:rsidR="00A02127" w:rsidRPr="005345C1" w:rsidRDefault="00A02127" w:rsidP="00F50049">
      <w:pPr>
        <w:contextualSpacing/>
        <w:jc w:val="center"/>
        <w:rPr>
          <w:rFonts w:ascii="Times New Roman" w:hAnsi="Times New Roman" w:cs="Times New Roman"/>
          <w:b/>
          <w:sz w:val="24"/>
          <w:szCs w:val="24"/>
        </w:rPr>
      </w:pPr>
    </w:p>
    <w:p w:rsidR="004C1574" w:rsidRDefault="004C1574" w:rsidP="00F50049">
      <w:pPr>
        <w:contextualSpacing/>
        <w:jc w:val="center"/>
        <w:rPr>
          <w:rFonts w:ascii="Times New Roman" w:hAnsi="Times New Roman" w:cs="Times New Roman"/>
          <w:b/>
          <w:sz w:val="24"/>
          <w:szCs w:val="24"/>
        </w:rPr>
      </w:pPr>
    </w:p>
    <w:p w:rsidR="004C1574" w:rsidRDefault="004C1574" w:rsidP="00F50049">
      <w:pPr>
        <w:contextualSpacing/>
        <w:jc w:val="center"/>
        <w:rPr>
          <w:rFonts w:ascii="Times New Roman" w:hAnsi="Times New Roman" w:cs="Times New Roman"/>
          <w:b/>
          <w:sz w:val="24"/>
          <w:szCs w:val="24"/>
        </w:rPr>
      </w:pPr>
    </w:p>
    <w:p w:rsidR="003F13FE" w:rsidRPr="005345C1" w:rsidRDefault="00D8361B" w:rsidP="00F50049">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6A336B">
        <w:rPr>
          <w:rFonts w:ascii="Times New Roman" w:hAnsi="Times New Roman" w:cs="Times New Roman"/>
          <w:b/>
          <w:sz w:val="24"/>
          <w:szCs w:val="24"/>
        </w:rPr>
        <w:t xml:space="preserve"> </w:t>
      </w:r>
    </w:p>
    <w:p w:rsidR="00F50049"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 xml:space="preserve">GÖRÜLDÜ </w:t>
      </w:r>
    </w:p>
    <w:p w:rsidR="00F50049" w:rsidRPr="005345C1" w:rsidRDefault="00F50049" w:rsidP="00F50049">
      <w:pPr>
        <w:contextualSpacing/>
        <w:jc w:val="center"/>
        <w:rPr>
          <w:rFonts w:ascii="Times New Roman" w:hAnsi="Times New Roman" w:cs="Times New Roman"/>
          <w:b/>
          <w:sz w:val="24"/>
          <w:szCs w:val="24"/>
        </w:rPr>
      </w:pPr>
      <w:proofErr w:type="gramStart"/>
      <w:r w:rsidRPr="005345C1">
        <w:rPr>
          <w:rFonts w:ascii="Times New Roman" w:hAnsi="Times New Roman" w:cs="Times New Roman"/>
          <w:b/>
          <w:sz w:val="24"/>
          <w:szCs w:val="24"/>
        </w:rPr>
        <w:t>…..</w:t>
      </w:r>
      <w:proofErr w:type="gramEnd"/>
      <w:r w:rsidRPr="005345C1">
        <w:rPr>
          <w:rFonts w:ascii="Times New Roman" w:hAnsi="Times New Roman" w:cs="Times New Roman"/>
          <w:b/>
          <w:sz w:val="24"/>
          <w:szCs w:val="24"/>
        </w:rPr>
        <w:t>/…../2019</w:t>
      </w:r>
    </w:p>
    <w:p w:rsidR="00CA2A7C"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Şükrü GENÇ</w:t>
      </w:r>
    </w:p>
    <w:p w:rsidR="00723B11" w:rsidRPr="005345C1" w:rsidRDefault="00F50049" w:rsidP="00F50049">
      <w:pPr>
        <w:contextualSpacing/>
        <w:jc w:val="center"/>
        <w:rPr>
          <w:sz w:val="24"/>
          <w:szCs w:val="24"/>
        </w:rPr>
      </w:pPr>
      <w:r w:rsidRPr="005345C1">
        <w:rPr>
          <w:rFonts w:ascii="Times New Roman" w:hAnsi="Times New Roman" w:cs="Times New Roman"/>
          <w:b/>
          <w:sz w:val="24"/>
          <w:szCs w:val="24"/>
        </w:rPr>
        <w:t>Belediye Başkanı</w:t>
      </w:r>
    </w:p>
    <w:p w:rsidR="005345C1" w:rsidRPr="005345C1" w:rsidRDefault="003C10F4">
      <w:pPr>
        <w:contextualSpacing/>
        <w:jc w:val="center"/>
        <w:rPr>
          <w:sz w:val="24"/>
          <w:szCs w:val="24"/>
        </w:rPr>
      </w:pPr>
      <w:r>
        <w:rPr>
          <w:sz w:val="24"/>
          <w:szCs w:val="24"/>
        </w:rPr>
        <w:t xml:space="preserve">  </w:t>
      </w:r>
    </w:p>
    <w:sectPr w:rsidR="005345C1" w:rsidRPr="005345C1"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2B0143C"/>
    <w:multiLevelType w:val="hybridMultilevel"/>
    <w:tmpl w:val="3210F91E"/>
    <w:lvl w:ilvl="0" w:tplc="DFFA3D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500F"/>
    <w:rsid w:val="000064E2"/>
    <w:rsid w:val="000657F1"/>
    <w:rsid w:val="000A5710"/>
    <w:rsid w:val="000D65AC"/>
    <w:rsid w:val="001053D2"/>
    <w:rsid w:val="001761E2"/>
    <w:rsid w:val="001A0D14"/>
    <w:rsid w:val="0023069E"/>
    <w:rsid w:val="00250469"/>
    <w:rsid w:val="0025072A"/>
    <w:rsid w:val="00257FD3"/>
    <w:rsid w:val="00265D82"/>
    <w:rsid w:val="002E1A48"/>
    <w:rsid w:val="002F284F"/>
    <w:rsid w:val="00301B63"/>
    <w:rsid w:val="00320D77"/>
    <w:rsid w:val="003263A7"/>
    <w:rsid w:val="00360F52"/>
    <w:rsid w:val="00395D56"/>
    <w:rsid w:val="003C10F4"/>
    <w:rsid w:val="003F10A5"/>
    <w:rsid w:val="003F13FE"/>
    <w:rsid w:val="003F14DB"/>
    <w:rsid w:val="00434274"/>
    <w:rsid w:val="004750F7"/>
    <w:rsid w:val="0049331A"/>
    <w:rsid w:val="0049554F"/>
    <w:rsid w:val="004C0EE5"/>
    <w:rsid w:val="004C1574"/>
    <w:rsid w:val="00523975"/>
    <w:rsid w:val="005345C1"/>
    <w:rsid w:val="005F3E03"/>
    <w:rsid w:val="006303A4"/>
    <w:rsid w:val="00644A6B"/>
    <w:rsid w:val="00691CAC"/>
    <w:rsid w:val="006A336B"/>
    <w:rsid w:val="006D03C0"/>
    <w:rsid w:val="00723B11"/>
    <w:rsid w:val="007E7FA1"/>
    <w:rsid w:val="007F23D9"/>
    <w:rsid w:val="00836CB7"/>
    <w:rsid w:val="008858B3"/>
    <w:rsid w:val="0088795B"/>
    <w:rsid w:val="008945EA"/>
    <w:rsid w:val="008B0FA6"/>
    <w:rsid w:val="008E05AD"/>
    <w:rsid w:val="008F5D69"/>
    <w:rsid w:val="00944E60"/>
    <w:rsid w:val="009D2A45"/>
    <w:rsid w:val="009E3190"/>
    <w:rsid w:val="00A02127"/>
    <w:rsid w:val="00A124C3"/>
    <w:rsid w:val="00A12C74"/>
    <w:rsid w:val="00A24187"/>
    <w:rsid w:val="00A61B2F"/>
    <w:rsid w:val="00B570CC"/>
    <w:rsid w:val="00B61C7B"/>
    <w:rsid w:val="00B6413D"/>
    <w:rsid w:val="00B675FD"/>
    <w:rsid w:val="00B73BBB"/>
    <w:rsid w:val="00B87625"/>
    <w:rsid w:val="00B879AF"/>
    <w:rsid w:val="00B909F0"/>
    <w:rsid w:val="00BD795D"/>
    <w:rsid w:val="00BF2769"/>
    <w:rsid w:val="00BF4D92"/>
    <w:rsid w:val="00C00429"/>
    <w:rsid w:val="00C82424"/>
    <w:rsid w:val="00C86E6C"/>
    <w:rsid w:val="00C936A7"/>
    <w:rsid w:val="00C94726"/>
    <w:rsid w:val="00C95D7F"/>
    <w:rsid w:val="00CA2A7C"/>
    <w:rsid w:val="00CE4A6F"/>
    <w:rsid w:val="00CF0C74"/>
    <w:rsid w:val="00D47122"/>
    <w:rsid w:val="00D76B45"/>
    <w:rsid w:val="00D8361B"/>
    <w:rsid w:val="00D851D3"/>
    <w:rsid w:val="00D85F78"/>
    <w:rsid w:val="00DB2A39"/>
    <w:rsid w:val="00DD4DE6"/>
    <w:rsid w:val="00DF22C4"/>
    <w:rsid w:val="00E34CB5"/>
    <w:rsid w:val="00EE6815"/>
    <w:rsid w:val="00F21AD1"/>
    <w:rsid w:val="00F46CC7"/>
    <w:rsid w:val="00F50049"/>
    <w:rsid w:val="00F50F0F"/>
    <w:rsid w:val="00F75785"/>
    <w:rsid w:val="00F80A67"/>
    <w:rsid w:val="00F823B7"/>
    <w:rsid w:val="00FA62DF"/>
    <w:rsid w:val="00FB1746"/>
    <w:rsid w:val="00FC4422"/>
    <w:rsid w:val="00FC5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172">
      <w:bodyDiv w:val="1"/>
      <w:marLeft w:val="0"/>
      <w:marRight w:val="0"/>
      <w:marTop w:val="0"/>
      <w:marBottom w:val="0"/>
      <w:divBdr>
        <w:top w:val="none" w:sz="0" w:space="0" w:color="auto"/>
        <w:left w:val="none" w:sz="0" w:space="0" w:color="auto"/>
        <w:bottom w:val="none" w:sz="0" w:space="0" w:color="auto"/>
        <w:right w:val="none" w:sz="0" w:space="0" w:color="auto"/>
      </w:divBdr>
    </w:div>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C01A-53C9-407C-BA4A-8BA6C793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1048</Words>
  <Characters>5977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7</cp:revision>
  <cp:lastPrinted>2019-10-14T08:25:00Z</cp:lastPrinted>
  <dcterms:created xsi:type="dcterms:W3CDTF">2019-10-14T07:58:00Z</dcterms:created>
  <dcterms:modified xsi:type="dcterms:W3CDTF">2019-10-14T08:50:00Z</dcterms:modified>
</cp:coreProperties>
</file>